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96" w:rsidRDefault="00113B96" w:rsidP="00113B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40000"/>
          <w:sz w:val="28"/>
          <w:szCs w:val="28"/>
        </w:rPr>
      </w:pPr>
      <w:r w:rsidRPr="00A339B8">
        <w:rPr>
          <w:rFonts w:ascii="Arial" w:eastAsia="Times New Roman" w:hAnsi="Arial" w:cs="Arial"/>
          <w:b/>
          <w:bCs/>
          <w:noProof/>
          <w:color w:val="363939"/>
          <w:sz w:val="28"/>
          <w:szCs w:val="28"/>
        </w:rPr>
        <w:drawing>
          <wp:inline distT="0" distB="0" distL="0" distR="0">
            <wp:extent cx="1959429" cy="1088572"/>
            <wp:effectExtent l="0" t="0" r="317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32" cy="109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96" w:rsidRPr="00A339B8" w:rsidRDefault="00113B96" w:rsidP="00113B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40000"/>
          <w:sz w:val="28"/>
          <w:szCs w:val="28"/>
        </w:rPr>
      </w:pPr>
      <w:r w:rsidRPr="00A339B8">
        <w:rPr>
          <w:rFonts w:ascii="Arial" w:eastAsia="Times New Roman" w:hAnsi="Arial" w:cs="Arial"/>
          <w:b/>
          <w:bCs/>
          <w:color w:val="A40000"/>
          <w:sz w:val="28"/>
          <w:szCs w:val="28"/>
        </w:rPr>
        <w:t>Orlando Health PGY-2 Critical Care Pharmacy Residency</w:t>
      </w: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9"/>
          <w:sz w:val="20"/>
          <w:szCs w:val="20"/>
        </w:rPr>
      </w:pP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PGY-2 Critical Care Pharmacy Residency at Orlando Health is a one-year post-graduate training program designed to develop essential knowledge and skills for contemporary health-system pharmacy practice. The residency program provides flexibility to adapt to the resident’s specific learning needs and goals. Training is provided through rotational and longitudinal experiences.  </w:t>
      </w: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Graduates of the Orlando Health PGY-2 Critical Care Pharmacy Residency will be competent and confident practitioners of pharmaceutical care in multiple patient care environments, assuring safe, effective and appropriate drug therapy. </w:t>
      </w: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>All of the required clinical rotations will be conducted at Orlando Regional Medical Center (ORMC). Elective rotations could take place at ORMC</w:t>
      </w:r>
      <w:r w:rsidR="00EC00D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EC00D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Arnold</w:t>
      </w:r>
      <w:proofErr w:type="gramEnd"/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Palmer Medical Center (APMC which are </w:t>
      </w:r>
      <w:r w:rsidR="00EC00DE">
        <w:rPr>
          <w:rFonts w:ascii="Arial" w:eastAsia="Times New Roman" w:hAnsi="Arial" w:cs="Arial"/>
          <w:color w:val="000000" w:themeColor="text1"/>
          <w:sz w:val="20"/>
          <w:szCs w:val="20"/>
        </w:rPr>
        <w:t>both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located on the main campus.</w:t>
      </w: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939"/>
          <w:sz w:val="24"/>
          <w:szCs w:val="20"/>
        </w:rPr>
      </w:pPr>
    </w:p>
    <w:p w:rsidR="00113B96" w:rsidRPr="00113B96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Goals of the Residency</w:t>
      </w:r>
    </w:p>
    <w:p w:rsidR="00113B96" w:rsidRPr="0007791B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i/>
          <w:color w:val="000000" w:themeColor="text1"/>
          <w:sz w:val="20"/>
          <w:szCs w:val="20"/>
        </w:rPr>
        <w:t>Graduating PGY-2 Critical Care Pharmacy Residents will: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Assure safe, effective, appropriate drug therapy and prevent, identify, and resolve drug related problems.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Present as a competent, confident, and compassionate practitioner and set and reassess goals.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Demonstrate a commitment to the advancement of the profession and continued personal growth.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Possess comprehensive health-system pharmacy skills that promote future professional growth.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Create, promote, and participate as a part of a multidisciplinary healthcare team.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Demonstrate the ability to identify opportunities for improvement within a practice and practice site.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Provide education to professional and non-professional audiences, utilizing effective communication skills. </w:t>
      </w:r>
    </w:p>
    <w:p w:rsidR="00113B96" w:rsidRPr="0007791B" w:rsidRDefault="00113B96" w:rsidP="00113B96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Demonstrate a foundation of leadership skills in pharmacy practice. </w:t>
      </w:r>
    </w:p>
    <w:p w:rsidR="00113B96" w:rsidRDefault="00113B96" w:rsidP="00113B96">
      <w:pPr>
        <w:spacing w:after="0" w:line="240" w:lineRule="auto"/>
        <w:rPr>
          <w:rFonts w:ascii="Arial" w:eastAsia="Times New Roman" w:hAnsi="Arial" w:cs="Arial"/>
          <w:b/>
          <w:bCs/>
          <w:color w:val="363939"/>
          <w:sz w:val="20"/>
          <w:szCs w:val="20"/>
        </w:rPr>
      </w:pPr>
      <w:bookmarkStart w:id="0" w:name="RequiredRotations"/>
      <w:bookmarkEnd w:id="0"/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18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18"/>
        </w:rPr>
        <w:t>Residency Director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710"/>
      </w:tblGrid>
      <w:tr w:rsidR="00113B96" w:rsidRPr="00A339B8" w:rsidTr="003C31EC">
        <w:trPr>
          <w:trHeight w:val="960"/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Marlena Fox, Pharm.D., BCPS</w:t>
            </w:r>
            <w:r w:rsidR="00E86A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BCCCP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Director, PGY-2 Critical Care Pharmacy Residency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Clinical Pharmacist, Critical Care Medicine</w:t>
            </w:r>
          </w:p>
        </w:tc>
      </w:tr>
      <w:tr w:rsidR="00113B96" w:rsidRPr="00A339B8" w:rsidTr="003C31EC">
        <w:trPr>
          <w:tblCellSpacing w:w="0" w:type="dxa"/>
        </w:trPr>
        <w:tc>
          <w:tcPr>
            <w:tcW w:w="0" w:type="auto"/>
            <w:hideMark/>
          </w:tcPr>
          <w:p w:rsidR="00113B96" w:rsidRPr="00A339B8" w:rsidRDefault="00113B96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E5A6B4A" wp14:editId="5DD2D1E5">
                  <wp:extent cx="1038225" cy="1428750"/>
                  <wp:effectExtent l="0" t="0" r="9525" b="0"/>
                  <wp:docPr id="2" name="Picture 2" descr="http://www.orlandohealth.com/MediaBank/images/photo_pharm_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rlandohealth.com/MediaBank/images/photo_pharm_f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13B96" w:rsidRPr="00A339B8" w:rsidRDefault="00113B96" w:rsidP="003C31EC">
            <w:pPr>
              <w:spacing w:after="240" w:line="240" w:lineRule="auto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Education: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Pharm.D., Medical University of South Carolina, Charleston, SC (2006) </w:t>
            </w:r>
          </w:p>
          <w:p w:rsidR="00113B96" w:rsidRPr="00A339B8" w:rsidRDefault="00113B96" w:rsidP="003C31EC">
            <w:pPr>
              <w:spacing w:after="240" w:line="225" w:lineRule="atLeast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Training: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PGY-1 Pharmacy Practice Residency (2006-2007) &amp; PGY-2 Critical Care Residency (2007-2008) at Shands at the University of Florida, Gainesville, FL</w:t>
            </w:r>
          </w:p>
          <w:p w:rsidR="00113B96" w:rsidRDefault="00113B96" w:rsidP="00113B96">
            <w:pPr>
              <w:spacing w:after="240" w:line="225" w:lineRule="atLeast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Interest Areas: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sepsis, therapeutic hypothermia, pulmonary hypertension</w:t>
            </w:r>
            <w:r w:rsidR="00E86A8E">
              <w:rPr>
                <w:rFonts w:ascii="Arial" w:eastAsia="Times New Roman" w:hAnsi="Arial" w:cs="Arial"/>
                <w:sz w:val="20"/>
                <w:szCs w:val="20"/>
              </w:rPr>
              <w:t>, sedation and delirium</w:t>
            </w:r>
          </w:p>
          <w:p w:rsidR="00113B96" w:rsidRPr="00A339B8" w:rsidRDefault="00113B96" w:rsidP="00113B96">
            <w:pPr>
              <w:spacing w:after="240" w:line="225" w:lineRule="atLeast"/>
              <w:ind w:lef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Email: </w:t>
            </w:r>
            <w:hyperlink r:id="rId11" w:history="1">
              <w:r w:rsidRPr="00A339B8">
                <w:rPr>
                  <w:rFonts w:ascii="Arial" w:eastAsia="Times New Roman" w:hAnsi="Arial" w:cs="Arial"/>
                  <w:color w:val="0000FF" w:themeColor="hyperlink"/>
                  <w:sz w:val="20"/>
                  <w:szCs w:val="20"/>
                  <w:u w:val="single"/>
                </w:rPr>
                <w:t>Marlena.Fox@orlandohealth.com</w:t>
              </w:r>
            </w:hyperlink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</w:tbl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Required and Elective Rotations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113B96" w:rsidRPr="00A339B8" w:rsidTr="003C31EC">
        <w:trPr>
          <w:trHeight w:val="45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Required Rotations: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Elective Rotations:</w:t>
            </w:r>
          </w:p>
        </w:tc>
      </w:tr>
      <w:tr w:rsidR="00113B96" w:rsidRPr="00A339B8" w:rsidTr="003C31E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E" w:rsidRPr="00E86A8E" w:rsidRDefault="00E86A8E" w:rsidP="00E86A8E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Cardiovascular ICU (1 month)</w:t>
            </w:r>
          </w:p>
          <w:p w:rsidR="00E86A8E" w:rsidRPr="00E86A8E" w:rsidRDefault="00E86A8E" w:rsidP="00E86A8E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Critical Care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Medicine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(2 months) </w:t>
            </w:r>
          </w:p>
          <w:p w:rsidR="00113B96" w:rsidRPr="00A339B8" w:rsidRDefault="00113B96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Emergency Medicine (</w:t>
            </w:r>
            <w:r w:rsidR="00E86A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months) </w:t>
            </w:r>
          </w:p>
          <w:p w:rsidR="00113B96" w:rsidRPr="00A339B8" w:rsidRDefault="00113B96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Orientation (1 month)</w:t>
            </w:r>
          </w:p>
          <w:p w:rsidR="00113B96" w:rsidRDefault="00113B96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Neurocritical Care (1 month)</w:t>
            </w:r>
          </w:p>
          <w:p w:rsidR="00E86A8E" w:rsidRDefault="00E86A8E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Nutrition Support (1 month)</w:t>
            </w:r>
          </w:p>
          <w:p w:rsidR="00E86A8E" w:rsidRPr="00A339B8" w:rsidRDefault="00E86A8E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Research (1 month)</w:t>
            </w:r>
          </w:p>
          <w:p w:rsidR="00113B96" w:rsidRPr="007E7C55" w:rsidRDefault="00113B96" w:rsidP="007E7C5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Surgical Critical Care (</w:t>
            </w:r>
            <w:r w:rsidR="00E86A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month) </w:t>
            </w:r>
          </w:p>
          <w:p w:rsidR="00113B96" w:rsidRPr="00A339B8" w:rsidRDefault="00113B96" w:rsidP="00113B96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Elective experience (2 months)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96" w:rsidRPr="00A339B8" w:rsidRDefault="00113B96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Adult Infectious Diseases </w:t>
            </w:r>
          </w:p>
          <w:p w:rsidR="00113B96" w:rsidRPr="00A339B8" w:rsidRDefault="00113B96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Burn Surgery Service</w:t>
            </w:r>
          </w:p>
          <w:p w:rsidR="00113B96" w:rsidRDefault="00113B96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 Critical Care </w:t>
            </w:r>
          </w:p>
          <w:p w:rsidR="00E86A8E" w:rsidRDefault="00E86A8E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Rapid Response Team</w:t>
            </w:r>
          </w:p>
          <w:p w:rsidR="00E86A8E" w:rsidRDefault="00E86A8E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Trauma/General Surgery </w:t>
            </w:r>
          </w:p>
          <w:p w:rsidR="00E86A8E" w:rsidRPr="00A339B8" w:rsidRDefault="00E86A8E" w:rsidP="00113B96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Repeat of any required rotation</w:t>
            </w:r>
          </w:p>
          <w:p w:rsidR="00113B96" w:rsidRPr="00A339B8" w:rsidRDefault="00113B96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bookmarkStart w:id="1" w:name="#AdditionalRequired"/>
      <w:bookmarkEnd w:id="1"/>
    </w:p>
    <w:p w:rsidR="00113B96" w:rsidRPr="00A339B8" w:rsidRDefault="00113B96" w:rsidP="00113B96">
      <w:pPr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Additional Required Activities</w:t>
      </w: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0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0"/>
          <w:szCs w:val="20"/>
        </w:rPr>
        <w:t xml:space="preserve"> </w:t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Critical Care Practice Research Project 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Design and conduct a project to develop or enhance an aspect of patient care specific to critically ill patients 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Present results at the Florida Residency Conference  </w:t>
      </w:r>
    </w:p>
    <w:p w:rsidR="00113B96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Prepare a manuscript suitable for publication </w:t>
      </w:r>
    </w:p>
    <w:p w:rsidR="00EC00DE" w:rsidRPr="0007791B" w:rsidRDefault="00EC00DE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Prepare abstract for submission to the Society of Critical Care Medicine (SCCM)</w:t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Evidence-Based Medicine Guideline / Protocol / Order Set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Develop an evidence-based medicine guideline / protocol / order set related to individual and/or population-based care of critically ill patients </w:t>
      </w:r>
    </w:p>
    <w:p w:rsidR="00113B96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Quality Improvement Project</w:t>
      </w:r>
      <w:r w:rsidR="00E86A8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or Medication Use Evaluation</w:t>
      </w:r>
    </w:p>
    <w:p w:rsidR="00E86A8E" w:rsidRPr="0007791B" w:rsidRDefault="00E86A8E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Newsletter article</w:t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Seminar 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Prepare and present a 1-hour ACPE-accredited seminar focusing on a controversial critical care pharmacotherapy issue </w:t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Residency Case-Presentation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>Present a 1-hour ACPE-Accredited CE patient-case based topic review</w:t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Didactic Teaching Experience 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>Opportunities will be provided for the resident to develop / give lectures to medical students and / or pharmacy students throughout the year.</w:t>
      </w:r>
    </w:p>
    <w:p w:rsidR="00113B96" w:rsidRPr="0007791B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>Additional opportunities may be available in conjunction with the University of Florida College of Pharmacy Orlando Campus.</w:t>
      </w:r>
    </w:p>
    <w:p w:rsidR="00113B96" w:rsidRPr="0007791B" w:rsidRDefault="00113B96" w:rsidP="00113B9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PGY-2 Pharmacy Journal Club </w:t>
      </w:r>
    </w:p>
    <w:p w:rsidR="00113B96" w:rsidRDefault="00113B96" w:rsidP="00113B96">
      <w:pPr>
        <w:pStyle w:val="ListParagraph"/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Organize and participate in </w:t>
      </w:r>
      <w:r w:rsidR="00EC00D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quarterly</w:t>
      </w:r>
      <w:r w:rsidRPr="000779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PGY-2 journal club </w:t>
      </w:r>
    </w:p>
    <w:p w:rsidR="00E86A8E" w:rsidRPr="0007791B" w:rsidRDefault="00E86A8E" w:rsidP="00EB0B0F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Critical Care Administration </w:t>
      </w:r>
      <w:r w:rsidR="00225FFA">
        <w:rPr>
          <w:rFonts w:ascii="Arial" w:eastAsia="Times New Roman" w:hAnsi="Arial" w:cs="Arial"/>
          <w:color w:val="000000" w:themeColor="text1"/>
          <w:sz w:val="20"/>
          <w:szCs w:val="20"/>
        </w:rPr>
        <w:t>(Longitudinal Learning 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xperience)</w:t>
      </w:r>
    </w:p>
    <w:p w:rsidR="00113B96" w:rsidRPr="00A339B8" w:rsidRDefault="00113B96" w:rsidP="00113B96">
      <w:pPr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113B96" w:rsidRPr="00A339B8" w:rsidRDefault="00113B96" w:rsidP="00113B96">
      <w:pPr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Weekend Experiences</w:t>
      </w:r>
    </w:p>
    <w:p w:rsidR="00113B96" w:rsidRPr="00A339B8" w:rsidRDefault="00113B96" w:rsidP="00113B96">
      <w:pPr>
        <w:spacing w:after="0" w:line="240" w:lineRule="auto"/>
        <w:rPr>
          <w:rFonts w:ascii="Arial" w:eastAsia="Times New Roman" w:hAnsi="Arial" w:cs="Arial"/>
          <w:color w:val="A40000"/>
          <w:sz w:val="20"/>
          <w:szCs w:val="20"/>
        </w:rPr>
      </w:pPr>
    </w:p>
    <w:p w:rsidR="00113B96" w:rsidRPr="0007791B" w:rsidRDefault="00113B96" w:rsidP="00113B9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#ProgramSpecifics"/>
      <w:bookmarkEnd w:id="2"/>
      <w:r w:rsidRPr="0007791B">
        <w:rPr>
          <w:rFonts w:ascii="Arial" w:eastAsia="Times New Roman" w:hAnsi="Arial" w:cs="Arial"/>
          <w:b/>
          <w:bCs/>
          <w:sz w:val="20"/>
          <w:szCs w:val="20"/>
        </w:rPr>
        <w:t xml:space="preserve">Pharmacy Operations </w:t>
      </w:r>
    </w:p>
    <w:p w:rsidR="00113B96" w:rsidRPr="0007791B" w:rsidRDefault="00113B96" w:rsidP="00113B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7791B">
        <w:rPr>
          <w:rFonts w:ascii="Arial" w:eastAsia="Times New Roman" w:hAnsi="Arial" w:cs="Arial"/>
          <w:bCs/>
          <w:sz w:val="20"/>
          <w:szCs w:val="20"/>
        </w:rPr>
        <w:t xml:space="preserve">Serve as a clinical staff pharmacist in the ICU satellite at ORMC </w:t>
      </w:r>
    </w:p>
    <w:p w:rsidR="00113B96" w:rsidRPr="0007791B" w:rsidRDefault="00113B96" w:rsidP="00113B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7791B">
        <w:rPr>
          <w:rFonts w:ascii="Arial" w:eastAsia="Times New Roman" w:hAnsi="Arial" w:cs="Arial"/>
          <w:bCs/>
          <w:sz w:val="20"/>
          <w:szCs w:val="20"/>
        </w:rPr>
        <w:t xml:space="preserve">12 hour shifts every sixth weekend </w:t>
      </w:r>
    </w:p>
    <w:p w:rsidR="00113B96" w:rsidRPr="0007791B" w:rsidRDefault="00113B96" w:rsidP="00113B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7791B">
        <w:rPr>
          <w:rFonts w:ascii="Arial" w:eastAsia="Times New Roman" w:hAnsi="Arial" w:cs="Arial"/>
          <w:bCs/>
          <w:sz w:val="20"/>
          <w:szCs w:val="20"/>
        </w:rPr>
        <w:t xml:space="preserve">Responsibilities: </w:t>
      </w:r>
    </w:p>
    <w:p w:rsidR="00113B96" w:rsidRPr="0007791B" w:rsidRDefault="00113B96" w:rsidP="00113B9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7791B">
        <w:rPr>
          <w:rFonts w:ascii="Arial" w:eastAsia="Times New Roman" w:hAnsi="Arial" w:cs="Arial"/>
          <w:bCs/>
          <w:sz w:val="20"/>
          <w:szCs w:val="20"/>
        </w:rPr>
        <w:t xml:space="preserve">Processing medication orders </w:t>
      </w:r>
    </w:p>
    <w:p w:rsidR="00113B96" w:rsidRPr="0007791B" w:rsidRDefault="00113B96" w:rsidP="00113B9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7791B">
        <w:rPr>
          <w:rFonts w:ascii="Arial" w:eastAsia="Times New Roman" w:hAnsi="Arial" w:cs="Arial"/>
          <w:bCs/>
          <w:sz w:val="20"/>
          <w:szCs w:val="20"/>
        </w:rPr>
        <w:t>Answering drug information questions from health-care professionals</w:t>
      </w:r>
    </w:p>
    <w:p w:rsidR="00113B96" w:rsidRPr="0007791B" w:rsidRDefault="00113B96" w:rsidP="00113B9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7791B">
        <w:rPr>
          <w:rFonts w:ascii="Arial" w:eastAsia="Times New Roman" w:hAnsi="Arial" w:cs="Arial"/>
          <w:bCs/>
          <w:sz w:val="20"/>
          <w:szCs w:val="20"/>
        </w:rPr>
        <w:t xml:space="preserve">Monitoring drugs specified in the Targeted Drug Review program </w:t>
      </w:r>
    </w:p>
    <w:p w:rsidR="00113B96" w:rsidRPr="00EB0B0F" w:rsidRDefault="00113B96" w:rsidP="00113B9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EB0B0F">
        <w:rPr>
          <w:rFonts w:ascii="Arial" w:eastAsia="Times New Roman" w:hAnsi="Arial" w:cs="Arial"/>
          <w:bCs/>
          <w:sz w:val="20"/>
          <w:szCs w:val="20"/>
        </w:rPr>
        <w:t xml:space="preserve">Comprehensive monitoring of vancomycin and aminoglycosides </w:t>
      </w:r>
      <w:r w:rsidRPr="00EB0B0F">
        <w:rPr>
          <w:rFonts w:ascii="Arial" w:eastAsia="Times New Roman" w:hAnsi="Arial" w:cs="Arial"/>
          <w:b/>
          <w:bCs/>
          <w:sz w:val="24"/>
          <w:szCs w:val="20"/>
        </w:rPr>
        <w:br w:type="page"/>
      </w: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lastRenderedPageBreak/>
        <w:t xml:space="preserve">Program Specifics 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19"/>
        <w:gridCol w:w="5219"/>
      </w:tblGrid>
      <w:tr w:rsidR="00113B96" w:rsidRPr="00A339B8" w:rsidTr="003C31EC">
        <w:trPr>
          <w:tblCellSpacing w:w="22" w:type="dxa"/>
        </w:trPr>
        <w:tc>
          <w:tcPr>
            <w:tcW w:w="2230" w:type="pct"/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ASHP Residency Directory Information</w:t>
            </w:r>
          </w:p>
        </w:tc>
        <w:tc>
          <w:tcPr>
            <w:tcW w:w="2701" w:type="pct"/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Residency Program Benefits</w:t>
            </w:r>
          </w:p>
        </w:tc>
      </w:tr>
      <w:tr w:rsidR="00113B96" w:rsidRPr="00A339B8" w:rsidTr="003C31EC">
        <w:trPr>
          <w:tblCellSpacing w:w="22" w:type="dxa"/>
        </w:trPr>
        <w:tc>
          <w:tcPr>
            <w:tcW w:w="2230" w:type="pct"/>
            <w:hideMark/>
          </w:tcPr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Duration: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months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Rotations: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month orientation (July)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9 required rotations 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elective rotations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Number of Positions: </w:t>
            </w:r>
            <w:r w:rsidRPr="00A339B8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Total # of Residents at Institution: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C00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74377C"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Starting Date: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July 1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Estimated Stipend: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C00DE">
              <w:t xml:space="preserve">$50, 481.40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(no state income tax)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Interview Required: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Yes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Training Site: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Orlando Health Hospitals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Practice Setting: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Community Teaching </w:t>
            </w:r>
          </w:p>
          <w:p w:rsidR="00113B96" w:rsidRPr="00A339B8" w:rsidRDefault="00113B96" w:rsidP="00113B96">
            <w:pPr>
              <w:numPr>
                <w:ilvl w:val="0"/>
                <w:numId w:val="4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Total Beds: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2,295 beds (Orlando Health System)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1" w:type="pct"/>
            <w:hideMark/>
          </w:tcPr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Monogrammed Lab Coat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Free Parking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Discounted Meals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Resident Office Space </w:t>
            </w:r>
          </w:p>
          <w:p w:rsidR="00113B96" w:rsidRPr="00A339B8" w:rsidRDefault="00113B96" w:rsidP="00113B96">
            <w:pPr>
              <w:numPr>
                <w:ilvl w:val="1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Desk with personal computer </w:t>
            </w:r>
          </w:p>
          <w:p w:rsidR="00113B96" w:rsidRPr="00A339B8" w:rsidRDefault="00113B96" w:rsidP="00113B96">
            <w:pPr>
              <w:numPr>
                <w:ilvl w:val="1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Laptop computer for patient care rounds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Reduced Professional Membership Fees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Reduced Meeting Registration Fees 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Travel Reimbursement for the following meetings: </w:t>
            </w:r>
          </w:p>
          <w:p w:rsidR="00113B96" w:rsidRPr="00A339B8" w:rsidRDefault="00113B96" w:rsidP="00113B96">
            <w:pPr>
              <w:numPr>
                <w:ilvl w:val="1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Society of Critical Care Medicine Annual Congress or similar meeting </w:t>
            </w:r>
          </w:p>
          <w:p w:rsidR="00113B96" w:rsidRPr="00A339B8" w:rsidRDefault="00113B96" w:rsidP="00113B96">
            <w:pPr>
              <w:numPr>
                <w:ilvl w:val="1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ASHP Midyear Clinical Meeting </w:t>
            </w:r>
          </w:p>
          <w:p w:rsidR="00113B96" w:rsidRPr="00A339B8" w:rsidRDefault="00113B96" w:rsidP="00113B96">
            <w:pPr>
              <w:numPr>
                <w:ilvl w:val="1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Florida Residency Conference</w:t>
            </w:r>
          </w:p>
          <w:p w:rsidR="00113B96" w:rsidRPr="00A339B8" w:rsidRDefault="00113B96" w:rsidP="00113B96">
            <w:pPr>
              <w:numPr>
                <w:ilvl w:val="0"/>
                <w:numId w:val="5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Pharmacy Continuing Education </w:t>
            </w:r>
          </w:p>
        </w:tc>
      </w:tr>
      <w:tr w:rsidR="00113B96" w:rsidRPr="00A339B8" w:rsidTr="003C31EC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Residency Program Benefits</w:t>
            </w:r>
          </w:p>
        </w:tc>
      </w:tr>
      <w:tr w:rsidR="00113B96" w:rsidRPr="00A339B8" w:rsidTr="003C31EC">
        <w:trPr>
          <w:tblCellSpacing w:w="22" w:type="dxa"/>
        </w:trPr>
        <w:tc>
          <w:tcPr>
            <w:tcW w:w="2230" w:type="pct"/>
            <w:hideMark/>
          </w:tcPr>
          <w:p w:rsidR="00113B96" w:rsidRPr="00A339B8" w:rsidRDefault="00113B96" w:rsidP="00113B96">
            <w:pPr>
              <w:numPr>
                <w:ilvl w:val="0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Available benefit programs: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Medical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Dental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Vision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Liability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Life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Disability </w:t>
            </w:r>
          </w:p>
          <w:p w:rsidR="00113B96" w:rsidRPr="00A339B8" w:rsidRDefault="00113B96" w:rsidP="00113B96">
            <w:pPr>
              <w:numPr>
                <w:ilvl w:val="1"/>
                <w:numId w:val="6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Retirement </w:t>
            </w:r>
          </w:p>
        </w:tc>
        <w:tc>
          <w:tcPr>
            <w:tcW w:w="2701" w:type="pct"/>
            <w:hideMark/>
          </w:tcPr>
          <w:p w:rsidR="00113B96" w:rsidRPr="00A339B8" w:rsidRDefault="00113B96" w:rsidP="00113B96">
            <w:pPr>
              <w:numPr>
                <w:ilvl w:val="0"/>
                <w:numId w:val="7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43CD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Hours of Paid Time Off </w:t>
            </w:r>
          </w:p>
          <w:p w:rsidR="00113B96" w:rsidRDefault="00113B96" w:rsidP="00113B96">
            <w:pPr>
              <w:numPr>
                <w:ilvl w:val="1"/>
                <w:numId w:val="7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Vacation/Holiday </w:t>
            </w:r>
          </w:p>
          <w:p w:rsidR="00443CDB" w:rsidRPr="00A339B8" w:rsidRDefault="00443CDB" w:rsidP="00113B96">
            <w:pPr>
              <w:numPr>
                <w:ilvl w:val="1"/>
                <w:numId w:val="7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Sick time</w:t>
            </w:r>
          </w:p>
          <w:p w:rsidR="00113B96" w:rsidRPr="00A339B8" w:rsidRDefault="00113B96" w:rsidP="00113B96">
            <w:pPr>
              <w:numPr>
                <w:ilvl w:val="1"/>
                <w:numId w:val="7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Interviews </w:t>
            </w:r>
          </w:p>
          <w:p w:rsidR="00113B96" w:rsidRPr="00A339B8" w:rsidRDefault="00443CDB" w:rsidP="00443CDB">
            <w:pPr>
              <w:numPr>
                <w:ilvl w:val="0"/>
                <w:numId w:val="7"/>
              </w:numPr>
              <w:spacing w:after="100" w:afterAutospacing="1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113B96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ELB</w:t>
            </w:r>
            <w:r w:rsidR="00113B96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3B96" w:rsidRPr="00A339B8" w:rsidTr="003C31EC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113B96" w:rsidRPr="00A339B8" w:rsidRDefault="00113B96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Orlando Health Pharmacy Residency Basics</w:t>
            </w:r>
          </w:p>
        </w:tc>
      </w:tr>
      <w:tr w:rsidR="00113B96" w:rsidRPr="00A339B8" w:rsidTr="003C31EC">
        <w:trPr>
          <w:tblCellSpacing w:w="22" w:type="dxa"/>
        </w:trPr>
        <w:tc>
          <w:tcPr>
            <w:tcW w:w="0" w:type="auto"/>
            <w:gridSpan w:val="2"/>
            <w:hideMark/>
          </w:tcPr>
          <w:p w:rsidR="00113B96" w:rsidRPr="00A339B8" w:rsidRDefault="00113B96" w:rsidP="00113B96">
            <w:pPr>
              <w:numPr>
                <w:ilvl w:val="0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Employment as a pharmacy resident at Orlando Health is contingent upon the following:</w:t>
            </w:r>
          </w:p>
          <w:p w:rsidR="00113B96" w:rsidRPr="00A339B8" w:rsidRDefault="00113B96" w:rsidP="00113B96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Obtaining a Florida Pharmacist license by September 1 of the residency year</w:t>
            </w:r>
          </w:p>
          <w:p w:rsidR="00113B96" w:rsidRPr="00A339B8" w:rsidRDefault="00113B96" w:rsidP="003C31EC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Florida Board of Pharmacy Website: </w:t>
            </w:r>
            <w:hyperlink r:id="rId12" w:tgtFrame="_self" w:history="1">
              <w:r w:rsidRPr="00A339B8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</w:rPr>
                <w:t>www.doh.state.fl.us/mqa/pharmacy/ph_home.html</w:t>
              </w:r>
            </w:hyperlink>
            <w:r w:rsidRPr="00A339B8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113B96" w:rsidRPr="00A339B8" w:rsidRDefault="00113B96" w:rsidP="00113B96">
            <w:pPr>
              <w:numPr>
                <w:ilvl w:val="1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Completion of the Orlando Health pre-employment physical </w:t>
            </w:r>
          </w:p>
          <w:p w:rsidR="00113B96" w:rsidRPr="00A339B8" w:rsidRDefault="00113B96" w:rsidP="00113B96">
            <w:pPr>
              <w:numPr>
                <w:ilvl w:val="1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A negative drug test including cotinine (a metabolite of nicotine)</w:t>
            </w:r>
          </w:p>
          <w:p w:rsidR="00113B96" w:rsidRPr="00A339B8" w:rsidRDefault="00113B96" w:rsidP="00113B96">
            <w:pPr>
              <w:numPr>
                <w:ilvl w:val="0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The Resident Learning System (RLS) is used to direct learning. </w:t>
            </w:r>
          </w:p>
          <w:p w:rsidR="00113B96" w:rsidRPr="00A339B8" w:rsidRDefault="00113B96" w:rsidP="00113B96">
            <w:pPr>
              <w:numPr>
                <w:ilvl w:val="0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 residency advisor is assigned to mentor the resident throughout the year. </w:t>
            </w:r>
          </w:p>
          <w:p w:rsidR="00113B96" w:rsidRPr="00A339B8" w:rsidRDefault="00113B96" w:rsidP="00225FFA">
            <w:pPr>
              <w:numPr>
                <w:ilvl w:val="0"/>
                <w:numId w:val="8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Advisors are also selected to assist the resident with completion of their projects (See </w:t>
            </w:r>
            <w:hyperlink r:id="rId13" w:anchor="Additional Required" w:tgtFrame="_self" w:history="1">
              <w:r w:rsidRPr="00A339B8">
                <w:rPr>
                  <w:rFonts w:ascii="Arial" w:eastAsia="Times New Roman" w:hAnsi="Arial" w:cs="Arial"/>
                  <w:sz w:val="20"/>
                  <w:szCs w:val="20"/>
                </w:rPr>
                <w:t>Additional Required Activities</w:t>
              </w:r>
            </w:hyperlink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</w:p>
        </w:tc>
      </w:tr>
    </w:tbl>
    <w:p w:rsidR="009F0A19" w:rsidRDefault="009F0A19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bookmarkStart w:id="3" w:name="ResidencyPreceptors"/>
      <w:bookmarkEnd w:id="3"/>
    </w:p>
    <w:p w:rsidR="009F0A19" w:rsidRDefault="009F0A19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9F0A19" w:rsidRDefault="009F0A19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9F0A19" w:rsidRDefault="009F0A19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9F0A19" w:rsidRDefault="009F0A19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9F0A19" w:rsidRDefault="009F0A19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9F0A19" w:rsidRDefault="009F0A19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9F0A19" w:rsidRDefault="009F0A19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lastRenderedPageBreak/>
        <w:t>PGY-2 Critical Care Pharmacy Residency Preceptors</w:t>
      </w:r>
    </w:p>
    <w:p w:rsidR="00113B96" w:rsidRPr="00A339B8" w:rsidRDefault="00113B96" w:rsidP="009F0A19">
      <w:pPr>
        <w:shd w:val="clear" w:color="auto" w:fill="FFFFFF"/>
        <w:tabs>
          <w:tab w:val="left" w:pos="1477"/>
        </w:tabs>
        <w:spacing w:after="0" w:line="240" w:lineRule="auto"/>
        <w:rPr>
          <w:rFonts w:ascii="Arial" w:eastAsia="Times New Roman" w:hAnsi="Arial" w:cs="Arial"/>
          <w:color w:val="A40000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13B96" w:rsidRPr="00A339B8" w:rsidTr="003C31EC">
        <w:trPr>
          <w:trHeight w:val="387"/>
        </w:trPr>
        <w:tc>
          <w:tcPr>
            <w:tcW w:w="4788" w:type="dxa"/>
            <w:vAlign w:val="center"/>
          </w:tcPr>
          <w:p w:rsidR="00113B96" w:rsidRPr="00A339B8" w:rsidRDefault="00113B96" w:rsidP="003C31E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4" w:name="ResidencyDirector"/>
            <w:bookmarkEnd w:id="4"/>
            <w:r w:rsidRPr="00A339B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PGY-2 Critical Care Residency Preceptors</w:t>
            </w:r>
            <w:r w:rsidRPr="00A339B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  <w:vAlign w:val="center"/>
          </w:tcPr>
          <w:p w:rsidR="00113B96" w:rsidRPr="00A339B8" w:rsidRDefault="00113B96" w:rsidP="003C31EC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339B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Additional Elective Preceptors</w:t>
            </w:r>
            <w:r w:rsidRPr="00A339B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113B96" w:rsidRPr="00A339B8" w:rsidTr="003C31EC">
        <w:tc>
          <w:tcPr>
            <w:tcW w:w="4788" w:type="dxa"/>
          </w:tcPr>
          <w:p w:rsidR="00113B96" w:rsidRDefault="00113B96" w:rsidP="00113B96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39B8">
              <w:rPr>
                <w:rFonts w:ascii="Arial" w:hAnsi="Arial" w:cs="Arial"/>
                <w:sz w:val="20"/>
                <w:szCs w:val="20"/>
              </w:rPr>
              <w:t>Jeanine Ballinger, PharmD</w:t>
            </w:r>
          </w:p>
          <w:p w:rsidR="00410E23" w:rsidRPr="00A339B8" w:rsidRDefault="00410E23" w:rsidP="00113B96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 Birrer, PharmD, BCPS</w:t>
            </w:r>
          </w:p>
          <w:p w:rsidR="00113B96" w:rsidRPr="00EB0B0F" w:rsidRDefault="00410E23" w:rsidP="00EB0B0F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William Carothers, PharmD</w:t>
            </w:r>
            <w:r w:rsidR="00443CDB">
              <w:rPr>
                <w:rFonts w:ascii="Arial" w:eastAsia="Times New Roman" w:hAnsi="Arial" w:cs="Arial"/>
                <w:sz w:val="20"/>
                <w:szCs w:val="20"/>
              </w:rPr>
              <w:t>, BCCCP</w:t>
            </w:r>
            <w:r w:rsidR="00113B96" w:rsidRPr="00EB0B0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113B96" w:rsidRPr="00EB0B0F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113B96" w:rsidRPr="00A339B8" w:rsidRDefault="00113B96" w:rsidP="00113B96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Marlena Fox, PharmD, BCPS</w:t>
            </w:r>
            <w:r w:rsidR="00225FFA">
              <w:rPr>
                <w:rFonts w:ascii="Arial" w:eastAsia="Times New Roman" w:hAnsi="Arial" w:cs="Arial"/>
                <w:sz w:val="20"/>
                <w:szCs w:val="20"/>
              </w:rPr>
              <w:t>, BCCCP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113B96" w:rsidRPr="00A339B8" w:rsidRDefault="00113B96" w:rsidP="00113B96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Jeff Gisel, BS, RPh</w:t>
            </w:r>
          </w:p>
          <w:p w:rsidR="009F0A19" w:rsidRPr="009F0A19" w:rsidRDefault="009F0A19" w:rsidP="009F0A19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0A19">
              <w:rPr>
                <w:rFonts w:ascii="Arial" w:eastAsia="Times New Roman" w:hAnsi="Arial" w:cs="Arial"/>
                <w:sz w:val="20"/>
                <w:szCs w:val="20"/>
              </w:rPr>
              <w:t>Amanda Giancarelli, PharmD, CNSC</w:t>
            </w:r>
            <w:r w:rsidR="00225FFA">
              <w:rPr>
                <w:rFonts w:ascii="Arial" w:eastAsia="Times New Roman" w:hAnsi="Arial" w:cs="Arial"/>
                <w:sz w:val="20"/>
                <w:szCs w:val="20"/>
              </w:rPr>
              <w:t>, BCCCP</w:t>
            </w:r>
          </w:p>
          <w:p w:rsidR="00113B96" w:rsidRDefault="00113B96" w:rsidP="00113B96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Brandon Hobbs, PharmD, BCPS</w:t>
            </w:r>
          </w:p>
          <w:p w:rsidR="00410E23" w:rsidRDefault="00410E23" w:rsidP="00113B96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Brandon Huang, PharmD</w:t>
            </w:r>
            <w:r w:rsidR="00443CDB">
              <w:rPr>
                <w:rFonts w:ascii="Arial" w:eastAsia="Times New Roman" w:hAnsi="Arial" w:cs="Arial"/>
                <w:sz w:val="20"/>
                <w:szCs w:val="20"/>
              </w:rPr>
              <w:t>, BCCCP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F0A19" w:rsidRDefault="009F0A19" w:rsidP="00113B96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Pamela </w:t>
            </w:r>
            <w:r w:rsidR="00225FFA">
              <w:rPr>
                <w:rFonts w:ascii="Arial" w:eastAsia="Times New Roman" w:hAnsi="Arial" w:cs="Arial"/>
                <w:sz w:val="20"/>
                <w:szCs w:val="20"/>
              </w:rPr>
              <w:t>Andrews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PharmD, BCPS</w:t>
            </w:r>
          </w:p>
          <w:p w:rsidR="00113B96" w:rsidRPr="00A339B8" w:rsidRDefault="00113B96" w:rsidP="009F0A19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113B96" w:rsidRDefault="00113B96" w:rsidP="00EB0B0F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Shauna </w:t>
            </w:r>
            <w:r w:rsidR="00443CDB" w:rsidRPr="00A339B8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="00443CDB">
              <w:rPr>
                <w:rFonts w:ascii="Arial" w:eastAsia="Times New Roman" w:hAnsi="Arial" w:cs="Arial"/>
                <w:sz w:val="20"/>
                <w:szCs w:val="20"/>
              </w:rPr>
              <w:t>unco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PharmD</w:t>
            </w:r>
            <w:proofErr w:type="spellEnd"/>
            <w:r w:rsidR="00225FFA">
              <w:rPr>
                <w:rFonts w:ascii="Arial" w:eastAsia="Times New Roman" w:hAnsi="Arial" w:cs="Arial"/>
                <w:sz w:val="20"/>
                <w:szCs w:val="20"/>
              </w:rPr>
              <w:t>, BCPS</w:t>
            </w:r>
          </w:p>
          <w:p w:rsidR="00AD052E" w:rsidRDefault="00AD052E" w:rsidP="00EB0B0F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 Liu, PharmD, FCCM</w:t>
            </w:r>
          </w:p>
          <w:p w:rsidR="00443CDB" w:rsidRPr="00EB0B0F" w:rsidRDefault="00443CDB" w:rsidP="00EB0B0F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Janessa Smith,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PharmD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BCPS</w:t>
            </w:r>
          </w:p>
          <w:p w:rsidR="00C71978" w:rsidRPr="00A339B8" w:rsidRDefault="00C71978" w:rsidP="00113B96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Megan Veverka, PharmD, BCPPS</w:t>
            </w:r>
          </w:p>
          <w:p w:rsidR="00113B96" w:rsidRPr="00A339B8" w:rsidRDefault="00113B96" w:rsidP="003C31EC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bookmarkStart w:id="5" w:name="_GoBack"/>
            <w:bookmarkEnd w:id="5"/>
          </w:p>
        </w:tc>
      </w:tr>
    </w:tbl>
    <w:p w:rsidR="00113B96" w:rsidRPr="00A339B8" w:rsidRDefault="00113B96" w:rsidP="00113B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13B96" w:rsidRPr="00A339B8" w:rsidRDefault="00113B96" w:rsidP="00113B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13B96" w:rsidRPr="00A339B8" w:rsidRDefault="00113B96" w:rsidP="00113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9"/>
          <w:sz w:val="18"/>
          <w:szCs w:val="18"/>
        </w:rPr>
      </w:pPr>
      <w:r w:rsidRPr="00A339B8">
        <w:rPr>
          <w:rFonts w:ascii="Arial" w:eastAsia="Times New Roman" w:hAnsi="Arial" w:cs="Arial"/>
          <w:color w:val="363939"/>
          <w:sz w:val="18"/>
          <w:szCs w:val="18"/>
        </w:rPr>
        <w:t> </w:t>
      </w:r>
    </w:p>
    <w:p w:rsidR="00113B96" w:rsidRPr="00A339B8" w:rsidRDefault="00113B96" w:rsidP="00113B96">
      <w:pPr>
        <w:spacing w:after="0" w:line="240" w:lineRule="auto"/>
      </w:pPr>
    </w:p>
    <w:p w:rsidR="00953091" w:rsidRDefault="00CE0BD9"/>
    <w:sectPr w:rsidR="0095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97" w:rsidRDefault="00F36797">
      <w:pPr>
        <w:spacing w:after="0" w:line="240" w:lineRule="auto"/>
      </w:pPr>
      <w:r>
        <w:separator/>
      </w:r>
    </w:p>
  </w:endnote>
  <w:endnote w:type="continuationSeparator" w:id="0">
    <w:p w:rsidR="00F36797" w:rsidRDefault="00F3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97" w:rsidRDefault="00F36797">
      <w:pPr>
        <w:spacing w:after="0" w:line="240" w:lineRule="auto"/>
      </w:pPr>
      <w:r>
        <w:separator/>
      </w:r>
    </w:p>
  </w:footnote>
  <w:footnote w:type="continuationSeparator" w:id="0">
    <w:p w:rsidR="00F36797" w:rsidRDefault="00F3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525"/>
    <w:multiLevelType w:val="multilevel"/>
    <w:tmpl w:val="A4F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1D66"/>
    <w:multiLevelType w:val="multilevel"/>
    <w:tmpl w:val="129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702"/>
    <w:multiLevelType w:val="multilevel"/>
    <w:tmpl w:val="A73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D6AA1"/>
    <w:multiLevelType w:val="hybridMultilevel"/>
    <w:tmpl w:val="EC287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57265"/>
    <w:multiLevelType w:val="hybridMultilevel"/>
    <w:tmpl w:val="B44A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44D2"/>
    <w:multiLevelType w:val="multilevel"/>
    <w:tmpl w:val="C748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1A6A8C"/>
    <w:multiLevelType w:val="hybridMultilevel"/>
    <w:tmpl w:val="8B28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C6D2F"/>
    <w:multiLevelType w:val="multilevel"/>
    <w:tmpl w:val="FC50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D011E0"/>
    <w:multiLevelType w:val="hybridMultilevel"/>
    <w:tmpl w:val="DC38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D23F87"/>
    <w:multiLevelType w:val="multilevel"/>
    <w:tmpl w:val="AD5C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7419E"/>
    <w:multiLevelType w:val="multilevel"/>
    <w:tmpl w:val="F41E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C770A"/>
    <w:multiLevelType w:val="multilevel"/>
    <w:tmpl w:val="28C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96"/>
    <w:rsid w:val="00113B96"/>
    <w:rsid w:val="00225FFA"/>
    <w:rsid w:val="003E0547"/>
    <w:rsid w:val="00410E23"/>
    <w:rsid w:val="00443CDB"/>
    <w:rsid w:val="004548B8"/>
    <w:rsid w:val="00724A66"/>
    <w:rsid w:val="0074377C"/>
    <w:rsid w:val="007E7C55"/>
    <w:rsid w:val="009F0A19"/>
    <w:rsid w:val="00A94922"/>
    <w:rsid w:val="00AD052E"/>
    <w:rsid w:val="00C71978"/>
    <w:rsid w:val="00CE0BD9"/>
    <w:rsid w:val="00DF71AD"/>
    <w:rsid w:val="00E273FD"/>
    <w:rsid w:val="00E86A8E"/>
    <w:rsid w:val="00EA5DF1"/>
    <w:rsid w:val="00EB0B0F"/>
    <w:rsid w:val="00EC00DE"/>
    <w:rsid w:val="00F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96"/>
  </w:style>
  <w:style w:type="table" w:customStyle="1" w:styleId="TableGrid1">
    <w:name w:val="Table Grid1"/>
    <w:basedOn w:val="TableNormal"/>
    <w:next w:val="TableGrid"/>
    <w:uiPriority w:val="59"/>
    <w:rsid w:val="0011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96"/>
  </w:style>
  <w:style w:type="table" w:customStyle="1" w:styleId="TableGrid1">
    <w:name w:val="Table Grid1"/>
    <w:basedOn w:val="TableNormal"/>
    <w:next w:val="TableGrid"/>
    <w:uiPriority w:val="59"/>
    <w:rsid w:val="0011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landohealth.com/SiteManagementEdit.aspx?Pid=3140&amp;Wid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h.state.fl.us/mqa/pharmacy/ph_ho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homedir\users$\kbirrer\Res%20Web%20Page%20-%20OH%20Format\2012%20Website%20Edits\Marlena.Fox@orlandohealth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6DB9-5C4B-4048-A1B9-DA55BB38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Michael J.</dc:creator>
  <cp:lastModifiedBy>Unum, Jesse</cp:lastModifiedBy>
  <cp:revision>4</cp:revision>
  <cp:lastPrinted>2015-10-06T20:18:00Z</cp:lastPrinted>
  <dcterms:created xsi:type="dcterms:W3CDTF">2017-08-15T16:58:00Z</dcterms:created>
  <dcterms:modified xsi:type="dcterms:W3CDTF">2017-09-18T18:53:00Z</dcterms:modified>
</cp:coreProperties>
</file>