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96" w:rsidRDefault="00113B96" w:rsidP="00113B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A40000"/>
          <w:sz w:val="28"/>
          <w:szCs w:val="28"/>
        </w:rPr>
      </w:pPr>
      <w:r w:rsidRPr="00A339B8">
        <w:rPr>
          <w:rFonts w:ascii="Arial" w:eastAsia="Times New Roman" w:hAnsi="Arial" w:cs="Arial"/>
          <w:b/>
          <w:bCs/>
          <w:noProof/>
          <w:color w:val="363939"/>
          <w:sz w:val="28"/>
          <w:szCs w:val="28"/>
        </w:rPr>
        <w:drawing>
          <wp:inline distT="0" distB="0" distL="0" distR="0">
            <wp:extent cx="1959429" cy="1088572"/>
            <wp:effectExtent l="0" t="0" r="317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532" cy="109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96" w:rsidRPr="00A339B8" w:rsidRDefault="00113B96" w:rsidP="00113B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40000"/>
          <w:sz w:val="28"/>
          <w:szCs w:val="28"/>
        </w:rPr>
      </w:pPr>
      <w:r w:rsidRPr="00A339B8">
        <w:rPr>
          <w:rFonts w:ascii="Arial" w:eastAsia="Times New Roman" w:hAnsi="Arial" w:cs="Arial"/>
          <w:b/>
          <w:bCs/>
          <w:color w:val="A40000"/>
          <w:sz w:val="28"/>
          <w:szCs w:val="28"/>
        </w:rPr>
        <w:t xml:space="preserve">Orlando Health PGY-2 </w:t>
      </w:r>
      <w:r w:rsidR="006A6DD6">
        <w:rPr>
          <w:rFonts w:ascii="Arial" w:eastAsia="Times New Roman" w:hAnsi="Arial" w:cs="Arial"/>
          <w:b/>
          <w:bCs/>
          <w:color w:val="A40000"/>
          <w:sz w:val="28"/>
          <w:szCs w:val="28"/>
        </w:rPr>
        <w:t>Emergency Medicine</w:t>
      </w:r>
      <w:r w:rsidRPr="00A339B8">
        <w:rPr>
          <w:rFonts w:ascii="Arial" w:eastAsia="Times New Roman" w:hAnsi="Arial" w:cs="Arial"/>
          <w:b/>
          <w:bCs/>
          <w:color w:val="A40000"/>
          <w:sz w:val="28"/>
          <w:szCs w:val="28"/>
        </w:rPr>
        <w:t xml:space="preserve"> Pharmacy Residency</w:t>
      </w:r>
    </w:p>
    <w:p w:rsidR="00113B96" w:rsidRPr="00A339B8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939"/>
          <w:sz w:val="20"/>
          <w:szCs w:val="20"/>
        </w:rPr>
      </w:pPr>
    </w:p>
    <w:p w:rsidR="00113B96" w:rsidRPr="0007791B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PGY-2 </w:t>
      </w:r>
      <w:r w:rsidR="006A6DD6">
        <w:rPr>
          <w:rFonts w:ascii="Arial" w:eastAsia="Times New Roman" w:hAnsi="Arial" w:cs="Arial"/>
          <w:color w:val="000000" w:themeColor="text1"/>
          <w:sz w:val="20"/>
          <w:szCs w:val="20"/>
        </w:rPr>
        <w:t>Emergency Medicine</w:t>
      </w: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Pharmacy Residency at Orlando Health is a one-year post-graduate training program designed to develop essential knowledge and skills for contemporary health-system pharmacy practice. The residency program provides flexibility to adapt to the resident’s specifics learning needs and goals. Training is provided through rotational and longitudinal experiences.  </w:t>
      </w:r>
    </w:p>
    <w:p w:rsidR="00113B96" w:rsidRPr="0007791B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113B96" w:rsidRPr="0007791B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Graduates of the Orlando Health PGY-2 </w:t>
      </w:r>
      <w:r w:rsidR="006A6DD6">
        <w:rPr>
          <w:rFonts w:ascii="Arial" w:eastAsia="Times New Roman" w:hAnsi="Arial" w:cs="Arial"/>
          <w:color w:val="000000" w:themeColor="text1"/>
          <w:sz w:val="20"/>
          <w:szCs w:val="20"/>
        </w:rPr>
        <w:t>Emergency Medicine</w:t>
      </w: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Pharmacy Residency will be competent and confident practitioners of pharmaceutical care in multiple patient care environments, assuring safe, effective and appropriate drug therapy. </w:t>
      </w:r>
    </w:p>
    <w:p w:rsidR="00113B96" w:rsidRPr="0007791B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113B96" w:rsidRPr="0007791B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>All of the required clinical rotations will be conducted at Orlando Regional Medical Center (ORMC)</w:t>
      </w:r>
      <w:r w:rsidR="009B4D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Arnold Palmer Medical Center (APMC)</w:t>
      </w: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Elective rotations could take place at ORMC, </w:t>
      </w:r>
      <w:r w:rsidR="009B4D77">
        <w:rPr>
          <w:rFonts w:ascii="Arial" w:eastAsia="Times New Roman" w:hAnsi="Arial" w:cs="Arial"/>
          <w:color w:val="000000" w:themeColor="text1"/>
          <w:sz w:val="20"/>
          <w:szCs w:val="20"/>
        </w:rPr>
        <w:t>APMC</w:t>
      </w: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>, Winnie Palmer Hospit</w:t>
      </w:r>
      <w:r w:rsidR="005F586C">
        <w:rPr>
          <w:rFonts w:ascii="Arial" w:eastAsia="Times New Roman" w:hAnsi="Arial" w:cs="Arial"/>
          <w:color w:val="000000" w:themeColor="text1"/>
          <w:sz w:val="20"/>
          <w:szCs w:val="20"/>
        </w:rPr>
        <w:t>al for Women &amp; Babies (WPH), or other facilities within the Orlando Health system</w:t>
      </w: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113B96" w:rsidRPr="00A339B8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939"/>
          <w:sz w:val="24"/>
          <w:szCs w:val="20"/>
        </w:rPr>
      </w:pPr>
    </w:p>
    <w:p w:rsidR="00113B96" w:rsidRPr="00113B96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4"/>
          <w:szCs w:val="20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t>Goals of the Residency</w:t>
      </w:r>
    </w:p>
    <w:p w:rsidR="00113B96" w:rsidRPr="0007791B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Graduating PGY-2 </w:t>
      </w:r>
      <w:r w:rsidR="006A6DD6">
        <w:rPr>
          <w:rFonts w:ascii="Arial" w:eastAsia="Times New Roman" w:hAnsi="Arial" w:cs="Arial"/>
          <w:i/>
          <w:color w:val="000000" w:themeColor="text1"/>
          <w:sz w:val="20"/>
          <w:szCs w:val="20"/>
        </w:rPr>
        <w:t>Emergency Medicine</w:t>
      </w:r>
      <w:r w:rsidRPr="0007791B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Pharmacy Residents will:</w:t>
      </w:r>
    </w:p>
    <w:p w:rsidR="00113B96" w:rsidRPr="0007791B" w:rsidRDefault="00113B96" w:rsidP="00113B96">
      <w:pPr>
        <w:numPr>
          <w:ilvl w:val="0"/>
          <w:numId w:val="11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Assure safe, effective, appropriate drug therapy and prevent, identify, and resolve drug related problems. </w:t>
      </w:r>
    </w:p>
    <w:p w:rsidR="00113B96" w:rsidRPr="0007791B" w:rsidRDefault="00113B96" w:rsidP="00113B96">
      <w:pPr>
        <w:numPr>
          <w:ilvl w:val="0"/>
          <w:numId w:val="11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Present as a competent, confident, and compassionate practitioner and set and reassess goals. </w:t>
      </w:r>
    </w:p>
    <w:p w:rsidR="00113B96" w:rsidRPr="0007791B" w:rsidRDefault="00113B96" w:rsidP="00113B96">
      <w:pPr>
        <w:numPr>
          <w:ilvl w:val="0"/>
          <w:numId w:val="11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Demonstrate a commitment to the advancement of the profession and continued personal growth. </w:t>
      </w:r>
    </w:p>
    <w:p w:rsidR="00113B96" w:rsidRPr="0007791B" w:rsidRDefault="00113B96" w:rsidP="00113B96">
      <w:pPr>
        <w:numPr>
          <w:ilvl w:val="0"/>
          <w:numId w:val="11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Possess comprehensive health-system pharmacy skills that promote future professional growth. </w:t>
      </w:r>
    </w:p>
    <w:p w:rsidR="00113B96" w:rsidRPr="0007791B" w:rsidRDefault="00113B96" w:rsidP="00113B96">
      <w:pPr>
        <w:numPr>
          <w:ilvl w:val="0"/>
          <w:numId w:val="11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Create, promote, and participate as a part of a multidisciplinary healthcare team. </w:t>
      </w:r>
    </w:p>
    <w:p w:rsidR="00113B96" w:rsidRPr="0007791B" w:rsidRDefault="00113B96" w:rsidP="00113B96">
      <w:pPr>
        <w:numPr>
          <w:ilvl w:val="0"/>
          <w:numId w:val="11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Demonstrate the ability to identify opportunities for improvement within a practice and practice site. </w:t>
      </w:r>
    </w:p>
    <w:p w:rsidR="00113B96" w:rsidRPr="0007791B" w:rsidRDefault="00113B96" w:rsidP="00113B96">
      <w:pPr>
        <w:numPr>
          <w:ilvl w:val="0"/>
          <w:numId w:val="11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Provide education to professional and non-professional audiences, utilizing effective communication skills. </w:t>
      </w:r>
    </w:p>
    <w:p w:rsidR="00113B96" w:rsidRPr="0007791B" w:rsidRDefault="00113B96" w:rsidP="00113B96">
      <w:pPr>
        <w:numPr>
          <w:ilvl w:val="0"/>
          <w:numId w:val="11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Demonstrate a foundation of leadership skills in pharmacy practice. </w:t>
      </w:r>
    </w:p>
    <w:p w:rsidR="00113B96" w:rsidRDefault="00113B96" w:rsidP="00113B96">
      <w:pPr>
        <w:spacing w:after="0" w:line="240" w:lineRule="auto"/>
        <w:rPr>
          <w:rFonts w:ascii="Arial" w:eastAsia="Times New Roman" w:hAnsi="Arial" w:cs="Arial"/>
          <w:b/>
          <w:bCs/>
          <w:color w:val="363939"/>
          <w:sz w:val="20"/>
          <w:szCs w:val="20"/>
        </w:rPr>
      </w:pPr>
      <w:bookmarkStart w:id="1" w:name="RequiredRotations"/>
      <w:bookmarkEnd w:id="1"/>
    </w:p>
    <w:p w:rsidR="00113B96" w:rsidRPr="00A339B8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4"/>
          <w:szCs w:val="18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18"/>
        </w:rPr>
        <w:t>Residency Director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700"/>
      </w:tblGrid>
      <w:tr w:rsidR="00113B96" w:rsidRPr="00A339B8" w:rsidTr="003C31EC">
        <w:trPr>
          <w:trHeight w:val="960"/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3B96" w:rsidRPr="00A339B8" w:rsidRDefault="006A6DD6" w:rsidP="006A6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Deba Rihani</w:t>
            </w:r>
            <w:r w:rsidR="00113B96"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Pharm.D., BCPS</w:t>
            </w:r>
            <w:r w:rsidR="00E86A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BCCCP</w:t>
            </w:r>
            <w:r w:rsidR="00113B96"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Director, PGY-2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Emergency Medicine</w:t>
            </w:r>
            <w:r w:rsidR="00113B96"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Pharmacy Residency</w:t>
            </w:r>
            <w:r w:rsidR="00113B96"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Clinical Pharmacist,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Pharmacy Services</w:t>
            </w:r>
          </w:p>
        </w:tc>
      </w:tr>
      <w:tr w:rsidR="00113B96" w:rsidRPr="00A339B8" w:rsidTr="003C31EC">
        <w:trPr>
          <w:tblCellSpacing w:w="0" w:type="dxa"/>
        </w:trPr>
        <w:tc>
          <w:tcPr>
            <w:tcW w:w="0" w:type="auto"/>
            <w:hideMark/>
          </w:tcPr>
          <w:p w:rsidR="00113B96" w:rsidRPr="00A339B8" w:rsidRDefault="00CB606D" w:rsidP="003C3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221D5A" wp14:editId="66CCF4E3">
                  <wp:simplePos x="0" y="0"/>
                  <wp:positionH relativeFrom="column">
                    <wp:posOffset>1155700</wp:posOffset>
                  </wp:positionH>
                  <wp:positionV relativeFrom="paragraph">
                    <wp:posOffset>-4612640</wp:posOffset>
                  </wp:positionV>
                  <wp:extent cx="1054100" cy="1480185"/>
                  <wp:effectExtent l="0" t="0" r="0" b="5715"/>
                  <wp:wrapSquare wrapText="bothSides"/>
                  <wp:docPr id="2" name="Picture 2" descr="C:\Users\d385852r\AppData\Local\Microsoft\Windows\Temporary Internet Files\Content.Outlook\GZTG86R3\FullSizeRende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385852r\AppData\Local\Microsoft\Windows\Temporary Internet Files\Content.Outlook\GZTG86R3\FullSizeRende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4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hideMark/>
          </w:tcPr>
          <w:p w:rsidR="00113B96" w:rsidRPr="00A339B8" w:rsidRDefault="00113B96" w:rsidP="003C31EC">
            <w:pPr>
              <w:spacing w:after="240" w:line="240" w:lineRule="auto"/>
              <w:ind w:left="15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Education</w:t>
            </w:r>
            <w:r w:rsidRPr="005C27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5C2792">
              <w:rPr>
                <w:rFonts w:ascii="Arial" w:eastAsia="Times New Roman" w:hAnsi="Arial" w:cs="Arial"/>
                <w:sz w:val="20"/>
                <w:szCs w:val="20"/>
              </w:rPr>
              <w:t xml:space="preserve">Pharm.D., </w:t>
            </w:r>
            <w:r w:rsidR="005C2792" w:rsidRPr="005C2792">
              <w:rPr>
                <w:rFonts w:ascii="Arial" w:eastAsia="Times New Roman" w:hAnsi="Arial" w:cs="Arial"/>
                <w:sz w:val="20"/>
                <w:szCs w:val="20"/>
              </w:rPr>
              <w:t>University of New Mexico College of Pharmacy</w:t>
            </w:r>
            <w:r w:rsidRPr="005C27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5C279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5C2792" w:rsidRPr="005C2792">
              <w:rPr>
                <w:rFonts w:ascii="Arial" w:eastAsia="Times New Roman" w:hAnsi="Arial" w:cs="Arial"/>
                <w:sz w:val="20"/>
                <w:szCs w:val="20"/>
              </w:rPr>
              <w:t>Albuquerque, NM (2009</w:t>
            </w:r>
            <w:r w:rsidRPr="005C2792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13B96" w:rsidRPr="00A339B8" w:rsidRDefault="00113B96" w:rsidP="003C31EC">
            <w:pPr>
              <w:spacing w:after="240" w:line="225" w:lineRule="atLeast"/>
              <w:ind w:left="15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Training: 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PGY-1 Pharmacy Practice Residency (200</w:t>
            </w:r>
            <w:r w:rsidR="0034506E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 w:rsidR="0034506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) &amp; PGY</w:t>
            </w:r>
            <w:r w:rsidR="0034506E">
              <w:rPr>
                <w:rFonts w:ascii="Arial" w:eastAsia="Times New Roman" w:hAnsi="Arial" w:cs="Arial"/>
                <w:sz w:val="20"/>
                <w:szCs w:val="20"/>
              </w:rPr>
              <w:t>-2 Critical Care Residency (2010-2011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) at </w:t>
            </w:r>
            <w:r w:rsidR="006A6DD6">
              <w:rPr>
                <w:rFonts w:ascii="Arial" w:eastAsia="Times New Roman" w:hAnsi="Arial" w:cs="Arial"/>
                <w:sz w:val="20"/>
                <w:szCs w:val="20"/>
              </w:rPr>
              <w:t>Orlando Regional Medical Center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6A6DD6">
              <w:rPr>
                <w:rFonts w:ascii="Arial" w:eastAsia="Times New Roman" w:hAnsi="Arial" w:cs="Arial"/>
                <w:sz w:val="20"/>
                <w:szCs w:val="20"/>
              </w:rPr>
              <w:t>Orlando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, FL</w:t>
            </w:r>
          </w:p>
          <w:p w:rsidR="00113B96" w:rsidRPr="005C2792" w:rsidRDefault="00113B96" w:rsidP="00113B96">
            <w:pPr>
              <w:spacing w:after="240" w:line="225" w:lineRule="atLeast"/>
              <w:ind w:left="150"/>
              <w:rPr>
                <w:rFonts w:ascii="Arial" w:eastAsia="Times New Roman" w:hAnsi="Arial" w:cs="Arial"/>
                <w:sz w:val="20"/>
                <w:szCs w:val="20"/>
              </w:rPr>
            </w:pPr>
            <w:r w:rsidRPr="005C27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Interest Areas:</w:t>
            </w:r>
            <w:r w:rsidR="005C2792" w:rsidRPr="005C27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2792" w:rsidRPr="005C2792">
              <w:rPr>
                <w:rFonts w:ascii="Arial" w:eastAsia="Times New Roman" w:hAnsi="Arial" w:cs="Arial"/>
                <w:bCs/>
                <w:sz w:val="20"/>
                <w:szCs w:val="20"/>
              </w:rPr>
              <w:t>Emergency</w:t>
            </w:r>
            <w:r w:rsidR="005C279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Medicine, Toxicology, Infectious Diseases, Trauma </w:t>
            </w:r>
          </w:p>
          <w:p w:rsidR="00113B96" w:rsidRPr="00A339B8" w:rsidRDefault="00113B96" w:rsidP="006A6DD6">
            <w:pPr>
              <w:spacing w:after="240" w:line="225" w:lineRule="atLeast"/>
              <w:ind w:left="15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Email: </w:t>
            </w:r>
            <w:hyperlink r:id="rId11" w:history="1">
              <w:r w:rsidR="006A6DD6" w:rsidRPr="007202D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Deba.Rihani@orlandohealth.com</w:t>
              </w:r>
            </w:hyperlink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</w:tbl>
    <w:p w:rsidR="005F586C" w:rsidRDefault="005F586C" w:rsidP="00A601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18"/>
        </w:rPr>
      </w:pPr>
    </w:p>
    <w:p w:rsidR="00A60165" w:rsidRPr="00A339B8" w:rsidRDefault="00A60165" w:rsidP="00A60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4"/>
          <w:szCs w:val="18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18"/>
        </w:rPr>
        <w:lastRenderedPageBreak/>
        <w:t xml:space="preserve">Residency </w:t>
      </w:r>
      <w:r>
        <w:rPr>
          <w:rFonts w:ascii="Arial" w:eastAsia="Times New Roman" w:hAnsi="Arial" w:cs="Arial"/>
          <w:b/>
          <w:bCs/>
          <w:color w:val="A40000"/>
          <w:sz w:val="24"/>
          <w:szCs w:val="18"/>
        </w:rPr>
        <w:t>Coordinator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7710"/>
      </w:tblGrid>
      <w:tr w:rsidR="00A60165" w:rsidRPr="00A339B8" w:rsidTr="00D13D91">
        <w:trPr>
          <w:trHeight w:val="960"/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0165" w:rsidRPr="00A339B8" w:rsidRDefault="00A60165" w:rsidP="00A6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Brandon Huang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Pharm.D.,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BCCCP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Coordinator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PGY-2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Emergency Medicine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Pharmacy Residency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Clinical Pharmacist,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Adult Emergency Medicine</w:t>
            </w:r>
          </w:p>
        </w:tc>
      </w:tr>
      <w:tr w:rsidR="00A60165" w:rsidRPr="00A339B8" w:rsidTr="00A60165">
        <w:trPr>
          <w:tblCellSpacing w:w="0" w:type="dxa"/>
        </w:trPr>
        <w:tc>
          <w:tcPr>
            <w:tcW w:w="0" w:type="auto"/>
            <w:hideMark/>
          </w:tcPr>
          <w:p w:rsidR="00A60165" w:rsidRPr="00A339B8" w:rsidRDefault="00A60165" w:rsidP="00D13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42416" cy="1481328"/>
                  <wp:effectExtent l="0" t="0" r="571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16" cy="148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60165" w:rsidRPr="00A339B8" w:rsidRDefault="00A60165" w:rsidP="00D13D91">
            <w:pPr>
              <w:spacing w:after="240" w:line="240" w:lineRule="auto"/>
              <w:ind w:left="15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Education</w:t>
            </w:r>
            <w:r w:rsidRPr="00A60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A60165">
              <w:rPr>
                <w:rFonts w:ascii="Arial" w:eastAsia="Times New Roman" w:hAnsi="Arial" w:cs="Arial"/>
                <w:sz w:val="20"/>
                <w:szCs w:val="20"/>
              </w:rPr>
              <w:t xml:space="preserve">Pharm.D., University of Florida College of Pharmacy, Orlando, </w:t>
            </w:r>
            <w:r w:rsidR="00C77F2B">
              <w:rPr>
                <w:rFonts w:ascii="Arial" w:eastAsia="Times New Roman" w:hAnsi="Arial" w:cs="Arial"/>
                <w:sz w:val="20"/>
                <w:szCs w:val="20"/>
              </w:rPr>
              <w:t>FL</w:t>
            </w:r>
            <w:r w:rsidRPr="00A60165">
              <w:rPr>
                <w:rFonts w:ascii="Arial" w:eastAsia="Times New Roman" w:hAnsi="Arial" w:cs="Arial"/>
                <w:sz w:val="20"/>
                <w:szCs w:val="20"/>
              </w:rPr>
              <w:t xml:space="preserve"> (2011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:rsidR="00A60165" w:rsidRPr="00A339B8" w:rsidRDefault="00A60165" w:rsidP="00D13D91">
            <w:pPr>
              <w:spacing w:after="240" w:line="225" w:lineRule="atLeast"/>
              <w:ind w:left="15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Training: 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PGY-1 Pharmacy Practice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Residency (2014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) &amp; PGY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-2 Critical Care Residency (2015-2016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) at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Orlando Regional Medical Center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Orlando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, FL</w:t>
            </w:r>
          </w:p>
          <w:p w:rsidR="00A60165" w:rsidRPr="00A60165" w:rsidRDefault="00A60165" w:rsidP="00D13D91">
            <w:pPr>
              <w:spacing w:after="240" w:line="225" w:lineRule="atLeast"/>
              <w:ind w:left="15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Interest Areas: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Emergency Medicine, Ketamine, Toxicology, Emergency Preparedness, Stroke</w:t>
            </w:r>
          </w:p>
          <w:p w:rsidR="00A60165" w:rsidRPr="00A339B8" w:rsidRDefault="00A60165" w:rsidP="00A60165">
            <w:pPr>
              <w:spacing w:after="240" w:line="225" w:lineRule="atLeast"/>
              <w:ind w:left="15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Email: </w:t>
            </w:r>
            <w:hyperlink r:id="rId13" w:history="1">
              <w:r w:rsidRPr="00AF2CB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Brandon.Huang@orlandohealth.com</w:t>
              </w:r>
            </w:hyperlink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</w:tbl>
    <w:p w:rsidR="00A60165" w:rsidRDefault="00A60165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</w:p>
    <w:p w:rsidR="00113B96" w:rsidRPr="00A339B8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4"/>
          <w:szCs w:val="20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t>Required and Elective Rotations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113B96" w:rsidRPr="00A339B8" w:rsidTr="003C31EC">
        <w:trPr>
          <w:trHeight w:val="45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96" w:rsidRPr="00A339B8" w:rsidRDefault="00113B96" w:rsidP="003C3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Required Rotations: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96" w:rsidRPr="00A339B8" w:rsidRDefault="00113B96" w:rsidP="003C3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Elective Rotations:</w:t>
            </w:r>
          </w:p>
        </w:tc>
      </w:tr>
      <w:tr w:rsidR="00113B96" w:rsidRPr="00A339B8" w:rsidTr="003C31E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E" w:rsidRPr="00E86A8E" w:rsidRDefault="00E86A8E" w:rsidP="00E86A8E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Critical Care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Medicine 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3450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month) </w:t>
            </w:r>
          </w:p>
          <w:p w:rsidR="00113B96" w:rsidRPr="00A339B8" w:rsidRDefault="00113B96" w:rsidP="00113B96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Emergency Medicine (</w:t>
            </w:r>
            <w:r w:rsidR="0034506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months) </w:t>
            </w:r>
          </w:p>
          <w:p w:rsidR="0034506E" w:rsidRDefault="006C0C57" w:rsidP="00113B96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Emergency Medicine – </w:t>
            </w:r>
            <w:r w:rsidR="0034506E">
              <w:rPr>
                <w:rFonts w:ascii="Arial" w:eastAsia="Times New Roman" w:hAnsi="Arial" w:cs="Arial"/>
                <w:sz w:val="20"/>
                <w:szCs w:val="20"/>
              </w:rPr>
              <w:t xml:space="preserve">Community </w:t>
            </w:r>
            <w:r w:rsidR="005C279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34506E">
              <w:rPr>
                <w:rFonts w:ascii="Arial" w:eastAsia="Times New Roman" w:hAnsi="Arial" w:cs="Arial"/>
                <w:sz w:val="20"/>
                <w:szCs w:val="20"/>
              </w:rPr>
              <w:t>(1 month)</w:t>
            </w:r>
          </w:p>
          <w:p w:rsidR="00113B96" w:rsidRPr="00A339B8" w:rsidRDefault="00113B96" w:rsidP="00113B96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Orientation (1 month)</w:t>
            </w:r>
          </w:p>
          <w:p w:rsidR="00E86A8E" w:rsidRDefault="0034506E" w:rsidP="00113B96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Pediatric Emergency Medicine/</w:t>
            </w:r>
            <w:r w:rsidR="005C279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Pediatric Critical Care</w:t>
            </w:r>
            <w:r w:rsidR="00E86A8E">
              <w:rPr>
                <w:rFonts w:ascii="Arial" w:eastAsia="Times New Roman" w:hAnsi="Arial" w:cs="Arial"/>
                <w:sz w:val="20"/>
                <w:szCs w:val="20"/>
              </w:rPr>
              <w:t xml:space="preserve"> (1 month)</w:t>
            </w:r>
          </w:p>
          <w:p w:rsidR="00E86A8E" w:rsidRPr="00A339B8" w:rsidRDefault="00E86A8E" w:rsidP="00113B96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Research (1 month)</w:t>
            </w:r>
          </w:p>
          <w:p w:rsidR="00113B96" w:rsidRPr="007E7C55" w:rsidRDefault="00113B96" w:rsidP="007E7C55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Surgical Critical Care (</w:t>
            </w:r>
            <w:r w:rsidR="003450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month) </w:t>
            </w:r>
          </w:p>
          <w:p w:rsidR="00113B96" w:rsidRPr="00A339B8" w:rsidRDefault="00113B96" w:rsidP="00113B96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Elective experience</w:t>
            </w:r>
            <w:r w:rsidR="0034506E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(2 months)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96" w:rsidRPr="00A339B8" w:rsidRDefault="00113B96" w:rsidP="00113B96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Adult Infectious Diseases </w:t>
            </w:r>
          </w:p>
          <w:p w:rsidR="00113B96" w:rsidRPr="00A339B8" w:rsidRDefault="0034506E" w:rsidP="00113B96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Cardiovascular Critical Care</w:t>
            </w:r>
          </w:p>
          <w:p w:rsidR="00113B96" w:rsidRDefault="0034506E" w:rsidP="00113B96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Neuro Critical Care</w:t>
            </w:r>
          </w:p>
          <w:p w:rsidR="00E86A8E" w:rsidRDefault="00E86A8E" w:rsidP="00113B96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Rapid Response Team</w:t>
            </w:r>
          </w:p>
          <w:p w:rsidR="0034506E" w:rsidRDefault="0034506E" w:rsidP="00113B96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Toxicology</w:t>
            </w:r>
          </w:p>
          <w:p w:rsidR="00E86A8E" w:rsidRDefault="00E86A8E" w:rsidP="00113B96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Trauma/General Surgery </w:t>
            </w:r>
          </w:p>
          <w:p w:rsidR="00E86A8E" w:rsidRPr="00A339B8" w:rsidRDefault="0034506E" w:rsidP="00113B96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Women’s Obstetrics/Gynecology</w:t>
            </w:r>
          </w:p>
          <w:p w:rsidR="00113B96" w:rsidRPr="00A339B8" w:rsidRDefault="00113B96" w:rsidP="003C3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13B96" w:rsidRPr="00A339B8" w:rsidRDefault="00113B96" w:rsidP="00113B96">
      <w:pPr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  <w:bookmarkStart w:id="2" w:name="#AdditionalRequired"/>
      <w:bookmarkEnd w:id="2"/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t>Additional Required Activities</w:t>
      </w:r>
    </w:p>
    <w:p w:rsidR="00113B96" w:rsidRPr="00A339B8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0"/>
          <w:szCs w:val="20"/>
        </w:rPr>
      </w:pPr>
      <w:r w:rsidRPr="00A339B8">
        <w:rPr>
          <w:rFonts w:ascii="Arial" w:eastAsia="Times New Roman" w:hAnsi="Arial" w:cs="Arial"/>
          <w:b/>
          <w:bCs/>
          <w:color w:val="A40000"/>
          <w:sz w:val="20"/>
          <w:szCs w:val="20"/>
        </w:rPr>
        <w:t xml:space="preserve"> </w:t>
      </w:r>
    </w:p>
    <w:p w:rsidR="00113B96" w:rsidRPr="0007791B" w:rsidRDefault="006A6DD6" w:rsidP="00113B96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Emergency Medicine</w:t>
      </w:r>
      <w:r w:rsidR="00113B96" w:rsidRPr="0007791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Practice Research Project </w:t>
      </w:r>
    </w:p>
    <w:p w:rsidR="00113B96" w:rsidRPr="0007791B" w:rsidRDefault="00113B96" w:rsidP="00113B96">
      <w:pPr>
        <w:pStyle w:val="ListParagraph"/>
        <w:numPr>
          <w:ilvl w:val="1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Design and conduct a project to develop or enhance an aspect of patient care specific to </w:t>
      </w:r>
      <w:r w:rsidR="00182AEA">
        <w:rPr>
          <w:rFonts w:ascii="Arial" w:eastAsia="Times New Roman" w:hAnsi="Arial" w:cs="Arial"/>
          <w:color w:val="000000" w:themeColor="text1"/>
          <w:sz w:val="20"/>
          <w:szCs w:val="20"/>
        </w:rPr>
        <w:t>emergency medicine</w:t>
      </w: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patients </w:t>
      </w:r>
    </w:p>
    <w:p w:rsidR="00113B96" w:rsidRPr="0007791B" w:rsidRDefault="00113B96" w:rsidP="00113B96">
      <w:pPr>
        <w:pStyle w:val="ListParagraph"/>
        <w:numPr>
          <w:ilvl w:val="1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Present results at the Florida Residency Conference  </w:t>
      </w:r>
    </w:p>
    <w:p w:rsidR="00113B96" w:rsidRPr="0007791B" w:rsidRDefault="00113B96" w:rsidP="00113B96">
      <w:pPr>
        <w:pStyle w:val="ListParagraph"/>
        <w:numPr>
          <w:ilvl w:val="1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Prepare a manuscript suitable for publication </w:t>
      </w:r>
    </w:p>
    <w:p w:rsidR="00113B96" w:rsidRPr="0007791B" w:rsidRDefault="00113B96" w:rsidP="00113B96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Evidence-Based Medicine Guideline / Protocol / Order Set</w:t>
      </w:r>
    </w:p>
    <w:p w:rsidR="00113B96" w:rsidRPr="0007791B" w:rsidRDefault="00113B96" w:rsidP="00113B96">
      <w:pPr>
        <w:pStyle w:val="ListParagraph"/>
        <w:numPr>
          <w:ilvl w:val="1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Develop an evidence-based medicine guideline / protocol / order set related to individual and/or population-based care of </w:t>
      </w:r>
      <w:r w:rsidR="00182AEA">
        <w:rPr>
          <w:rFonts w:ascii="Arial" w:eastAsia="Times New Roman" w:hAnsi="Arial" w:cs="Arial"/>
          <w:color w:val="000000" w:themeColor="text1"/>
          <w:sz w:val="20"/>
          <w:szCs w:val="20"/>
        </w:rPr>
        <w:t>emergency medicine</w:t>
      </w: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patients </w:t>
      </w:r>
    </w:p>
    <w:p w:rsidR="00113B96" w:rsidRDefault="00113B96" w:rsidP="00113B96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Quality Improvement Project</w:t>
      </w:r>
      <w:r w:rsidR="00E86A8E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or Medication Use Evaluation</w:t>
      </w:r>
    </w:p>
    <w:p w:rsidR="00E86A8E" w:rsidRPr="0007791B" w:rsidRDefault="00E86A8E" w:rsidP="00113B96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Newsletter article</w:t>
      </w:r>
    </w:p>
    <w:p w:rsidR="00113B96" w:rsidRPr="0007791B" w:rsidRDefault="00113B96" w:rsidP="00113B96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Seminar </w:t>
      </w:r>
    </w:p>
    <w:p w:rsidR="00113B96" w:rsidRPr="0007791B" w:rsidRDefault="00113B96" w:rsidP="00113B96">
      <w:pPr>
        <w:pStyle w:val="ListParagraph"/>
        <w:numPr>
          <w:ilvl w:val="1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Prepare and present a 1-hour ACPE-accredited seminar focusing on a controversial </w:t>
      </w:r>
      <w:r w:rsidR="006A6DD6">
        <w:rPr>
          <w:rFonts w:ascii="Arial" w:eastAsia="Times New Roman" w:hAnsi="Arial" w:cs="Arial"/>
          <w:color w:val="000000" w:themeColor="text1"/>
          <w:sz w:val="20"/>
          <w:szCs w:val="20"/>
        </w:rPr>
        <w:t>emergency medicine</w:t>
      </w: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pharmacotherapy issue </w:t>
      </w:r>
    </w:p>
    <w:p w:rsidR="00113B96" w:rsidRPr="0007791B" w:rsidRDefault="00113B96" w:rsidP="00113B96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Residency Case-Presentation</w:t>
      </w:r>
    </w:p>
    <w:p w:rsidR="00113B96" w:rsidRPr="0007791B" w:rsidRDefault="00113B96" w:rsidP="00113B96">
      <w:pPr>
        <w:pStyle w:val="ListParagraph"/>
        <w:numPr>
          <w:ilvl w:val="1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>Present a 1-hour ACPE-Accredited CE patient-case based topic review</w:t>
      </w:r>
    </w:p>
    <w:p w:rsidR="00113B96" w:rsidRPr="0007791B" w:rsidRDefault="00113B96" w:rsidP="00113B96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Didactic Teaching Experience </w:t>
      </w:r>
    </w:p>
    <w:p w:rsidR="00113B96" w:rsidRPr="0007791B" w:rsidRDefault="00113B96" w:rsidP="00113B96">
      <w:pPr>
        <w:pStyle w:val="ListParagraph"/>
        <w:numPr>
          <w:ilvl w:val="1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>Opportunities will be provided for the resident to develop / give lectures to medical students and / or pharmacy students throughout the year.</w:t>
      </w:r>
    </w:p>
    <w:p w:rsidR="00113B96" w:rsidRPr="0007791B" w:rsidRDefault="00113B96" w:rsidP="00113B96">
      <w:pPr>
        <w:pStyle w:val="ListParagraph"/>
        <w:numPr>
          <w:ilvl w:val="1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>Additional opportunities may be available in conjunction with the University of Florida College of Pharmacy Orlando Campus.</w:t>
      </w:r>
      <w:r w:rsidR="005C2792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</w:p>
    <w:p w:rsidR="00113B96" w:rsidRPr="0007791B" w:rsidRDefault="00113B96" w:rsidP="00113B96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lastRenderedPageBreak/>
        <w:t xml:space="preserve">PGY-2 Pharmacy Journal Club </w:t>
      </w:r>
    </w:p>
    <w:p w:rsidR="00113B96" w:rsidRDefault="00113B96" w:rsidP="00113B96">
      <w:pPr>
        <w:pStyle w:val="ListParagraph"/>
        <w:numPr>
          <w:ilvl w:val="1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Organize and participate in bi-annual PGY-2 journal club </w:t>
      </w:r>
    </w:p>
    <w:p w:rsidR="00E86A8E" w:rsidRDefault="006A6DD6" w:rsidP="00EB0B0F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6F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Emergency Medicine</w:t>
      </w:r>
      <w:r w:rsidR="00E86A8E" w:rsidRPr="002136FA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Administration </w:t>
      </w:r>
      <w:r w:rsidR="00225FFA">
        <w:rPr>
          <w:rFonts w:ascii="Arial" w:eastAsia="Times New Roman" w:hAnsi="Arial" w:cs="Arial"/>
          <w:color w:val="000000" w:themeColor="text1"/>
          <w:sz w:val="20"/>
          <w:szCs w:val="20"/>
        </w:rPr>
        <w:t>(Longitudinal Learning E</w:t>
      </w:r>
      <w:r w:rsidR="00E86A8E">
        <w:rPr>
          <w:rFonts w:ascii="Arial" w:eastAsia="Times New Roman" w:hAnsi="Arial" w:cs="Arial"/>
          <w:color w:val="000000" w:themeColor="text1"/>
          <w:sz w:val="20"/>
          <w:szCs w:val="20"/>
        </w:rPr>
        <w:t>xperience)</w:t>
      </w:r>
    </w:p>
    <w:p w:rsidR="005C2792" w:rsidRPr="005C2792" w:rsidRDefault="002136FA" w:rsidP="005C2792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Code Blue 90 Coverage</w:t>
      </w:r>
    </w:p>
    <w:p w:rsidR="00113B96" w:rsidRPr="005C2792" w:rsidRDefault="002136FA" w:rsidP="005C2792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79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Residency Leadership Position</w:t>
      </w:r>
    </w:p>
    <w:p w:rsidR="00113B96" w:rsidRPr="00A339B8" w:rsidRDefault="00113B96" w:rsidP="00113B96">
      <w:pPr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t>Weekend Experiences</w:t>
      </w:r>
    </w:p>
    <w:p w:rsidR="00113B96" w:rsidRPr="00A339B8" w:rsidRDefault="00113B96" w:rsidP="00113B96">
      <w:pPr>
        <w:spacing w:after="0" w:line="240" w:lineRule="auto"/>
        <w:rPr>
          <w:rFonts w:ascii="Arial" w:eastAsia="Times New Roman" w:hAnsi="Arial" w:cs="Arial"/>
          <w:color w:val="A40000"/>
          <w:sz w:val="20"/>
          <w:szCs w:val="20"/>
        </w:rPr>
      </w:pPr>
    </w:p>
    <w:p w:rsidR="00113B96" w:rsidRPr="0007791B" w:rsidRDefault="00113B96" w:rsidP="00113B9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3" w:name="#ProgramSpecifics"/>
      <w:bookmarkEnd w:id="3"/>
      <w:r w:rsidRPr="0007791B">
        <w:rPr>
          <w:rFonts w:ascii="Arial" w:eastAsia="Times New Roman" w:hAnsi="Arial" w:cs="Arial"/>
          <w:b/>
          <w:bCs/>
          <w:sz w:val="20"/>
          <w:szCs w:val="20"/>
        </w:rPr>
        <w:t xml:space="preserve">Pharmacy Operations </w:t>
      </w:r>
    </w:p>
    <w:p w:rsidR="00113B96" w:rsidRPr="0007791B" w:rsidRDefault="00113B96" w:rsidP="00113B9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7791B">
        <w:rPr>
          <w:rFonts w:ascii="Arial" w:eastAsia="Times New Roman" w:hAnsi="Arial" w:cs="Arial"/>
          <w:bCs/>
          <w:sz w:val="20"/>
          <w:szCs w:val="20"/>
        </w:rPr>
        <w:t xml:space="preserve">Serve as a clinical staff pharmacist in the </w:t>
      </w:r>
      <w:r w:rsidR="006A6DD6">
        <w:rPr>
          <w:rFonts w:ascii="Arial" w:eastAsia="Times New Roman" w:hAnsi="Arial" w:cs="Arial"/>
          <w:bCs/>
          <w:sz w:val="20"/>
          <w:szCs w:val="20"/>
        </w:rPr>
        <w:t>Emergency Department</w:t>
      </w:r>
      <w:r w:rsidRPr="0007791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3167A">
        <w:rPr>
          <w:rFonts w:ascii="Arial" w:eastAsia="Times New Roman" w:hAnsi="Arial" w:cs="Arial"/>
          <w:bCs/>
          <w:sz w:val="20"/>
          <w:szCs w:val="20"/>
        </w:rPr>
        <w:t xml:space="preserve">(ED) </w:t>
      </w:r>
      <w:r w:rsidRPr="0007791B">
        <w:rPr>
          <w:rFonts w:ascii="Arial" w:eastAsia="Times New Roman" w:hAnsi="Arial" w:cs="Arial"/>
          <w:bCs/>
          <w:sz w:val="20"/>
          <w:szCs w:val="20"/>
        </w:rPr>
        <w:t xml:space="preserve">at ORMC </w:t>
      </w:r>
    </w:p>
    <w:p w:rsidR="00113B96" w:rsidRPr="0007791B" w:rsidRDefault="006A6DD6" w:rsidP="00113B9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12 hour shifts every four</w:t>
      </w:r>
      <w:r w:rsidR="00113B96" w:rsidRPr="0007791B">
        <w:rPr>
          <w:rFonts w:ascii="Arial" w:eastAsia="Times New Roman" w:hAnsi="Arial" w:cs="Arial"/>
          <w:bCs/>
          <w:sz w:val="20"/>
          <w:szCs w:val="20"/>
        </w:rPr>
        <w:t xml:space="preserve">th weekend </w:t>
      </w:r>
    </w:p>
    <w:p w:rsidR="00113B96" w:rsidRPr="0007791B" w:rsidRDefault="00113B96" w:rsidP="00113B9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7791B">
        <w:rPr>
          <w:rFonts w:ascii="Arial" w:eastAsia="Times New Roman" w:hAnsi="Arial" w:cs="Arial"/>
          <w:bCs/>
          <w:sz w:val="20"/>
          <w:szCs w:val="20"/>
        </w:rPr>
        <w:t xml:space="preserve">Responsibilities: </w:t>
      </w:r>
    </w:p>
    <w:p w:rsidR="00113B96" w:rsidRPr="0007791B" w:rsidRDefault="00113B96" w:rsidP="00113B96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7791B">
        <w:rPr>
          <w:rFonts w:ascii="Arial" w:eastAsia="Times New Roman" w:hAnsi="Arial" w:cs="Arial"/>
          <w:bCs/>
          <w:sz w:val="20"/>
          <w:szCs w:val="20"/>
        </w:rPr>
        <w:t xml:space="preserve">Processing medication orders </w:t>
      </w:r>
    </w:p>
    <w:p w:rsidR="00113B96" w:rsidRPr="0007791B" w:rsidRDefault="00113B96" w:rsidP="00113B96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7791B">
        <w:rPr>
          <w:rFonts w:ascii="Arial" w:eastAsia="Times New Roman" w:hAnsi="Arial" w:cs="Arial"/>
          <w:bCs/>
          <w:sz w:val="20"/>
          <w:szCs w:val="20"/>
        </w:rPr>
        <w:t>Answering drug information questions from health-care professionals</w:t>
      </w:r>
    </w:p>
    <w:p w:rsidR="00113B96" w:rsidRPr="0007791B" w:rsidRDefault="006A6DD6" w:rsidP="00113B96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Responding to all emergency alerts in the ED</w:t>
      </w:r>
    </w:p>
    <w:p w:rsidR="00113B96" w:rsidRPr="005C2792" w:rsidRDefault="00113B96" w:rsidP="00113B96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EB0B0F">
        <w:rPr>
          <w:rFonts w:ascii="Arial" w:eastAsia="Times New Roman" w:hAnsi="Arial" w:cs="Arial"/>
          <w:bCs/>
          <w:sz w:val="20"/>
          <w:szCs w:val="20"/>
        </w:rPr>
        <w:t xml:space="preserve">Comprehensive monitoring of vancomycin and aminoglycosides </w:t>
      </w:r>
    </w:p>
    <w:p w:rsidR="005C2792" w:rsidRPr="00EB0B0F" w:rsidRDefault="005C2792" w:rsidP="005C279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6C0C57" w:rsidRPr="00A339B8" w:rsidRDefault="006C0C57" w:rsidP="006C0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4"/>
          <w:szCs w:val="20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t xml:space="preserve">PGY-2 </w:t>
      </w:r>
      <w:r>
        <w:rPr>
          <w:rFonts w:ascii="Arial" w:eastAsia="Times New Roman" w:hAnsi="Arial" w:cs="Arial"/>
          <w:b/>
          <w:bCs/>
          <w:color w:val="A40000"/>
          <w:sz w:val="24"/>
          <w:szCs w:val="20"/>
        </w:rPr>
        <w:t>Emergency Medicine</w:t>
      </w: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t xml:space="preserve"> Pharmacy Residency Preceptors</w:t>
      </w:r>
    </w:p>
    <w:p w:rsidR="006C0C57" w:rsidRPr="00A339B8" w:rsidRDefault="006C0C57" w:rsidP="006C0C57">
      <w:pPr>
        <w:shd w:val="clear" w:color="auto" w:fill="FFFFFF"/>
        <w:tabs>
          <w:tab w:val="left" w:pos="1477"/>
        </w:tabs>
        <w:spacing w:after="0" w:line="240" w:lineRule="auto"/>
        <w:rPr>
          <w:rFonts w:ascii="Arial" w:eastAsia="Times New Roman" w:hAnsi="Arial" w:cs="Arial"/>
          <w:color w:val="A40000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6C0C57" w:rsidRPr="00A339B8" w:rsidTr="006C0C57">
        <w:trPr>
          <w:trHeight w:val="387"/>
        </w:trPr>
        <w:tc>
          <w:tcPr>
            <w:tcW w:w="5328" w:type="dxa"/>
            <w:vAlign w:val="center"/>
          </w:tcPr>
          <w:p w:rsidR="006C0C57" w:rsidRPr="00A339B8" w:rsidRDefault="006C0C57" w:rsidP="00F411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4" w:name="ResidencyDirector"/>
            <w:bookmarkEnd w:id="4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PGY-2 Emergency Medicine</w:t>
            </w:r>
            <w:r w:rsidRPr="00A339B8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Residency Preceptors</w:t>
            </w:r>
            <w:r w:rsidRPr="00A339B8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48" w:type="dxa"/>
            <w:vAlign w:val="center"/>
          </w:tcPr>
          <w:p w:rsidR="006C0C57" w:rsidRPr="00A339B8" w:rsidRDefault="006C0C57" w:rsidP="00F41109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A339B8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Additional Elective Preceptors</w:t>
            </w:r>
            <w:r w:rsidRPr="00A339B8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</w:tr>
      <w:tr w:rsidR="006C0C57" w:rsidRPr="00A339B8" w:rsidTr="006C0C57">
        <w:tc>
          <w:tcPr>
            <w:tcW w:w="5328" w:type="dxa"/>
          </w:tcPr>
          <w:p w:rsidR="006C0C57" w:rsidRDefault="006C0C57" w:rsidP="00F41109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Marlena Fox, PharmD, BCPS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BCCCP</w:t>
            </w:r>
          </w:p>
          <w:p w:rsidR="006C0C57" w:rsidRPr="009F0A19" w:rsidRDefault="006C0C57" w:rsidP="00F41109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0A19">
              <w:rPr>
                <w:rFonts w:ascii="Arial" w:eastAsia="Times New Roman" w:hAnsi="Arial" w:cs="Arial"/>
                <w:sz w:val="20"/>
                <w:szCs w:val="20"/>
              </w:rPr>
              <w:t>Amanda Giancarelli, PharmD, CNSC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BCCCP</w:t>
            </w:r>
          </w:p>
          <w:p w:rsidR="006C0C57" w:rsidRDefault="006C0C57" w:rsidP="00F41109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Brandon Hobbs, PharmD, BCPS</w:t>
            </w:r>
          </w:p>
          <w:p w:rsidR="006C0C57" w:rsidRDefault="006C0C57" w:rsidP="00F41109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Brandon Huang, PharmD, BCCCP </w:t>
            </w:r>
          </w:p>
          <w:p w:rsidR="006C0C57" w:rsidRDefault="006C0C57" w:rsidP="006C0C57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Deba Rihani, PharmD, BCPS, BCCCP</w:t>
            </w:r>
          </w:p>
          <w:p w:rsidR="006C0C57" w:rsidRPr="006C0C57" w:rsidRDefault="006C0C57" w:rsidP="006C0C57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Susan Norman, PharmD, BCPS, BCPPS</w:t>
            </w:r>
          </w:p>
          <w:p w:rsidR="006C0C57" w:rsidRDefault="006C0C57" w:rsidP="00F41109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Megan Veverka, PharmD, BCPS, BCPPS</w:t>
            </w:r>
          </w:p>
          <w:p w:rsidR="006C0C57" w:rsidRPr="00A339B8" w:rsidRDefault="006C0C57" w:rsidP="006C0C57">
            <w:p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8" w:type="dxa"/>
          </w:tcPr>
          <w:p w:rsidR="006C0C57" w:rsidRPr="00A339B8" w:rsidRDefault="006C0C57" w:rsidP="006C0C57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 Birrer, PharmD, BCPS</w:t>
            </w:r>
          </w:p>
          <w:p w:rsidR="006C0C57" w:rsidRDefault="006C0C57" w:rsidP="006C0C57">
            <w:pPr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Nicole Campbell, PharmD</w:t>
            </w:r>
            <w:r w:rsidR="00182AEA">
              <w:rPr>
                <w:rFonts w:ascii="Arial" w:eastAsia="Times New Roman" w:hAnsi="Arial" w:cs="Arial"/>
                <w:sz w:val="20"/>
                <w:szCs w:val="20"/>
              </w:rPr>
              <w:t>, BCPS</w:t>
            </w:r>
          </w:p>
          <w:p w:rsidR="006C0C57" w:rsidRDefault="006C0C57" w:rsidP="006C0C57">
            <w:pPr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William Carothers, PharmD</w:t>
            </w:r>
            <w:r w:rsidRPr="00EB0B0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>, BCCCP</w:t>
            </w:r>
          </w:p>
          <w:p w:rsidR="006C0C57" w:rsidRPr="00A339B8" w:rsidRDefault="006C0C57" w:rsidP="006C0C57">
            <w:pPr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Susanna Holms, PharmD</w:t>
            </w:r>
          </w:p>
          <w:p w:rsidR="006C0C57" w:rsidRPr="006C0C57" w:rsidRDefault="006C0C57" w:rsidP="006C0C57">
            <w:pPr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Shauna Jacobson, PharmD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BCPS</w:t>
            </w:r>
          </w:p>
        </w:tc>
      </w:tr>
    </w:tbl>
    <w:p w:rsidR="00113B96" w:rsidRPr="00A339B8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t xml:space="preserve">Program Specifics 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19"/>
        <w:gridCol w:w="5219"/>
      </w:tblGrid>
      <w:tr w:rsidR="00113B96" w:rsidRPr="00A339B8" w:rsidTr="003C31EC">
        <w:trPr>
          <w:tblCellSpacing w:w="22" w:type="dxa"/>
        </w:trPr>
        <w:tc>
          <w:tcPr>
            <w:tcW w:w="2230" w:type="pct"/>
            <w:vAlign w:val="center"/>
            <w:hideMark/>
          </w:tcPr>
          <w:p w:rsidR="00113B96" w:rsidRPr="00A339B8" w:rsidRDefault="00113B96" w:rsidP="003C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ASHP Residency Directory Information</w:t>
            </w:r>
          </w:p>
        </w:tc>
        <w:tc>
          <w:tcPr>
            <w:tcW w:w="2701" w:type="pct"/>
            <w:vAlign w:val="center"/>
            <w:hideMark/>
          </w:tcPr>
          <w:p w:rsidR="00113B96" w:rsidRPr="00A339B8" w:rsidRDefault="00113B96" w:rsidP="003C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Residency Program Benefits</w:t>
            </w:r>
          </w:p>
        </w:tc>
      </w:tr>
      <w:tr w:rsidR="00113B96" w:rsidRPr="00A339B8" w:rsidTr="003C31EC">
        <w:trPr>
          <w:tblCellSpacing w:w="22" w:type="dxa"/>
        </w:trPr>
        <w:tc>
          <w:tcPr>
            <w:tcW w:w="2230" w:type="pct"/>
            <w:hideMark/>
          </w:tcPr>
          <w:p w:rsidR="00113B96" w:rsidRPr="00A339B8" w:rsidRDefault="00113B96" w:rsidP="00113B96">
            <w:pPr>
              <w:numPr>
                <w:ilvl w:val="0"/>
                <w:numId w:val="4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Duration: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months </w:t>
            </w:r>
          </w:p>
          <w:p w:rsidR="00113B96" w:rsidRPr="00A339B8" w:rsidRDefault="00113B96" w:rsidP="00113B96">
            <w:pPr>
              <w:numPr>
                <w:ilvl w:val="0"/>
                <w:numId w:val="4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Rotations: 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month orientation (July) 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9 required rotations 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elective rotations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13B96" w:rsidRPr="00A339B8" w:rsidRDefault="00113B96" w:rsidP="00113B96">
            <w:pPr>
              <w:numPr>
                <w:ilvl w:val="0"/>
                <w:numId w:val="4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Number of Positions: </w:t>
            </w:r>
            <w:r w:rsidR="0034506E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13B96" w:rsidRPr="00A339B8" w:rsidRDefault="00113B96" w:rsidP="00113B96">
            <w:pPr>
              <w:numPr>
                <w:ilvl w:val="0"/>
                <w:numId w:val="4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Total # of Residents at Institution: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45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74377C"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13B96" w:rsidRPr="00A339B8" w:rsidRDefault="00113B96" w:rsidP="00113B96">
            <w:pPr>
              <w:numPr>
                <w:ilvl w:val="0"/>
                <w:numId w:val="4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Starting Date: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July 1 </w:t>
            </w:r>
          </w:p>
          <w:p w:rsidR="00113B96" w:rsidRPr="00A339B8" w:rsidRDefault="00113B96" w:rsidP="00113B96">
            <w:pPr>
              <w:numPr>
                <w:ilvl w:val="0"/>
                <w:numId w:val="4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Estimated Stipend: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~$</w:t>
            </w:r>
            <w:r w:rsidR="006C0C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6C0C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 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(no state income tax) </w:t>
            </w:r>
          </w:p>
          <w:p w:rsidR="00113B96" w:rsidRPr="00A339B8" w:rsidRDefault="00113B96" w:rsidP="00113B96">
            <w:pPr>
              <w:numPr>
                <w:ilvl w:val="0"/>
                <w:numId w:val="4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Interview Required: 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Yes </w:t>
            </w:r>
          </w:p>
          <w:p w:rsidR="00113B96" w:rsidRPr="00A339B8" w:rsidRDefault="00113B96" w:rsidP="00113B96">
            <w:pPr>
              <w:numPr>
                <w:ilvl w:val="0"/>
                <w:numId w:val="4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Training Site: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Orlando Health Hospitals </w:t>
            </w:r>
          </w:p>
          <w:p w:rsidR="00113B96" w:rsidRPr="00A339B8" w:rsidRDefault="00113B96" w:rsidP="00113B96">
            <w:pPr>
              <w:numPr>
                <w:ilvl w:val="0"/>
                <w:numId w:val="4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Practice Setting: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Community Teaching </w:t>
            </w:r>
          </w:p>
          <w:p w:rsidR="00113B96" w:rsidRPr="00A339B8" w:rsidRDefault="00113B96" w:rsidP="00113B96">
            <w:pPr>
              <w:numPr>
                <w:ilvl w:val="0"/>
                <w:numId w:val="4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Total Beds: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2,295 beds (Orlando Health System)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1" w:type="pct"/>
            <w:hideMark/>
          </w:tcPr>
          <w:p w:rsidR="00113B96" w:rsidRPr="00A339B8" w:rsidRDefault="00113B96" w:rsidP="00113B96">
            <w:pPr>
              <w:numPr>
                <w:ilvl w:val="0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Monogrammed Lab Coat </w:t>
            </w:r>
          </w:p>
          <w:p w:rsidR="00113B96" w:rsidRPr="00A339B8" w:rsidRDefault="00113B96" w:rsidP="00113B96">
            <w:pPr>
              <w:numPr>
                <w:ilvl w:val="0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Free Parking </w:t>
            </w:r>
          </w:p>
          <w:p w:rsidR="00113B96" w:rsidRPr="00A339B8" w:rsidRDefault="00113B96" w:rsidP="00113B96">
            <w:pPr>
              <w:numPr>
                <w:ilvl w:val="0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Discounted Meals </w:t>
            </w:r>
          </w:p>
          <w:p w:rsidR="00113B96" w:rsidRPr="00A339B8" w:rsidRDefault="00113B96" w:rsidP="00113B96">
            <w:pPr>
              <w:numPr>
                <w:ilvl w:val="0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Resident Office Space </w:t>
            </w:r>
          </w:p>
          <w:p w:rsidR="00113B96" w:rsidRPr="00A339B8" w:rsidRDefault="00113B96" w:rsidP="00113B96">
            <w:pPr>
              <w:numPr>
                <w:ilvl w:val="1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Desk with personal computer </w:t>
            </w:r>
          </w:p>
          <w:p w:rsidR="00113B96" w:rsidRPr="00A339B8" w:rsidRDefault="00113B96" w:rsidP="00113B96">
            <w:pPr>
              <w:numPr>
                <w:ilvl w:val="1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Laptop computer for patient care rounds </w:t>
            </w:r>
          </w:p>
          <w:p w:rsidR="00113B96" w:rsidRPr="00A339B8" w:rsidRDefault="00113B96" w:rsidP="00113B96">
            <w:pPr>
              <w:numPr>
                <w:ilvl w:val="0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Reduced Professional Membership Fees </w:t>
            </w:r>
          </w:p>
          <w:p w:rsidR="00113B96" w:rsidRPr="00A339B8" w:rsidRDefault="00113B96" w:rsidP="00113B96">
            <w:pPr>
              <w:numPr>
                <w:ilvl w:val="0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Reduced Meeting Registration Fees </w:t>
            </w:r>
          </w:p>
          <w:p w:rsidR="00113B96" w:rsidRPr="00A339B8" w:rsidRDefault="00113B96" w:rsidP="00113B96">
            <w:pPr>
              <w:numPr>
                <w:ilvl w:val="0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Travel Reimbursement for the following meetings: </w:t>
            </w:r>
          </w:p>
          <w:p w:rsidR="00113B96" w:rsidRPr="00A339B8" w:rsidRDefault="0034506E" w:rsidP="00113B96">
            <w:pPr>
              <w:numPr>
                <w:ilvl w:val="1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American College of Emergency Physicians Scientific Assembly</w:t>
            </w:r>
            <w:r w:rsidR="00113B96"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or similar meeting </w:t>
            </w:r>
          </w:p>
          <w:p w:rsidR="00113B96" w:rsidRPr="00A339B8" w:rsidRDefault="00113B96" w:rsidP="00113B96">
            <w:pPr>
              <w:numPr>
                <w:ilvl w:val="1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ASHP Midyear Clinical Meeting </w:t>
            </w:r>
          </w:p>
          <w:p w:rsidR="00113B96" w:rsidRPr="00A339B8" w:rsidRDefault="00113B96" w:rsidP="00113B96">
            <w:pPr>
              <w:numPr>
                <w:ilvl w:val="1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Florida Residency Conference</w:t>
            </w:r>
          </w:p>
          <w:p w:rsidR="00113B96" w:rsidRPr="00A339B8" w:rsidRDefault="00113B96" w:rsidP="00113B96">
            <w:pPr>
              <w:numPr>
                <w:ilvl w:val="0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Pharmacy Continuing Education </w:t>
            </w:r>
          </w:p>
        </w:tc>
      </w:tr>
      <w:tr w:rsidR="00113B96" w:rsidRPr="00A339B8" w:rsidTr="003C31EC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6C0C57" w:rsidRDefault="006C0C57" w:rsidP="003C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C0C57" w:rsidRDefault="006C0C57" w:rsidP="003C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C0C57" w:rsidRDefault="006C0C57" w:rsidP="003C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13B96" w:rsidRPr="00A339B8" w:rsidRDefault="00113B96" w:rsidP="003C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Additional Residency Program Benefits</w:t>
            </w:r>
          </w:p>
        </w:tc>
      </w:tr>
      <w:tr w:rsidR="00113B96" w:rsidRPr="00A339B8" w:rsidTr="003C31EC">
        <w:trPr>
          <w:tblCellSpacing w:w="22" w:type="dxa"/>
        </w:trPr>
        <w:tc>
          <w:tcPr>
            <w:tcW w:w="2230" w:type="pct"/>
            <w:hideMark/>
          </w:tcPr>
          <w:p w:rsidR="00113B96" w:rsidRPr="00A339B8" w:rsidRDefault="00113B96" w:rsidP="00113B96">
            <w:pPr>
              <w:numPr>
                <w:ilvl w:val="0"/>
                <w:numId w:val="6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Available benefit programs: </w:t>
            </w:r>
          </w:p>
          <w:p w:rsidR="00113B96" w:rsidRPr="00A339B8" w:rsidRDefault="00113B96" w:rsidP="00113B96">
            <w:pPr>
              <w:numPr>
                <w:ilvl w:val="1"/>
                <w:numId w:val="6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Medical </w:t>
            </w:r>
          </w:p>
          <w:p w:rsidR="00113B96" w:rsidRPr="00A339B8" w:rsidRDefault="00113B96" w:rsidP="00113B96">
            <w:pPr>
              <w:numPr>
                <w:ilvl w:val="1"/>
                <w:numId w:val="6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Dental </w:t>
            </w:r>
          </w:p>
          <w:p w:rsidR="00113B96" w:rsidRPr="00A339B8" w:rsidRDefault="00113B96" w:rsidP="00113B96">
            <w:pPr>
              <w:numPr>
                <w:ilvl w:val="1"/>
                <w:numId w:val="6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Vision </w:t>
            </w:r>
          </w:p>
          <w:p w:rsidR="00113B96" w:rsidRPr="00A339B8" w:rsidRDefault="00113B96" w:rsidP="00113B96">
            <w:pPr>
              <w:numPr>
                <w:ilvl w:val="1"/>
                <w:numId w:val="6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Liability </w:t>
            </w:r>
          </w:p>
          <w:p w:rsidR="00113B96" w:rsidRPr="00A339B8" w:rsidRDefault="00113B96" w:rsidP="00113B96">
            <w:pPr>
              <w:numPr>
                <w:ilvl w:val="1"/>
                <w:numId w:val="6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Life </w:t>
            </w:r>
          </w:p>
          <w:p w:rsidR="00113B96" w:rsidRPr="00A339B8" w:rsidRDefault="00113B96" w:rsidP="00113B96">
            <w:pPr>
              <w:numPr>
                <w:ilvl w:val="1"/>
                <w:numId w:val="6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Disability </w:t>
            </w:r>
          </w:p>
          <w:p w:rsidR="00113B96" w:rsidRPr="00A339B8" w:rsidRDefault="00113B96" w:rsidP="00113B96">
            <w:pPr>
              <w:numPr>
                <w:ilvl w:val="1"/>
                <w:numId w:val="6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Retirement </w:t>
            </w:r>
          </w:p>
        </w:tc>
        <w:tc>
          <w:tcPr>
            <w:tcW w:w="2701" w:type="pct"/>
            <w:hideMark/>
          </w:tcPr>
          <w:p w:rsidR="00113B96" w:rsidRPr="006C0C57" w:rsidRDefault="006C0C57" w:rsidP="00113B96">
            <w:pPr>
              <w:numPr>
                <w:ilvl w:val="0"/>
                <w:numId w:val="7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C0C57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  <w:r w:rsidR="00113B96" w:rsidRPr="006C0C57">
              <w:rPr>
                <w:rFonts w:ascii="Arial" w:eastAsia="Times New Roman" w:hAnsi="Arial" w:cs="Arial"/>
                <w:sz w:val="20"/>
                <w:szCs w:val="20"/>
              </w:rPr>
              <w:t xml:space="preserve"> Hours of Paid Time Off </w:t>
            </w:r>
          </w:p>
          <w:p w:rsidR="00113B96" w:rsidRPr="006C0C57" w:rsidRDefault="00113B96" w:rsidP="00113B96">
            <w:pPr>
              <w:numPr>
                <w:ilvl w:val="1"/>
                <w:numId w:val="7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C0C57">
              <w:rPr>
                <w:rFonts w:ascii="Arial" w:eastAsia="Times New Roman" w:hAnsi="Arial" w:cs="Arial"/>
                <w:sz w:val="20"/>
                <w:szCs w:val="20"/>
              </w:rPr>
              <w:t xml:space="preserve">Vacation/Holiday </w:t>
            </w:r>
          </w:p>
          <w:p w:rsidR="006C0C57" w:rsidRPr="006C0C57" w:rsidRDefault="00113B96" w:rsidP="00113B96">
            <w:pPr>
              <w:numPr>
                <w:ilvl w:val="1"/>
                <w:numId w:val="7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C0C57">
              <w:rPr>
                <w:rFonts w:ascii="Arial" w:eastAsia="Times New Roman" w:hAnsi="Arial" w:cs="Arial"/>
                <w:sz w:val="20"/>
                <w:szCs w:val="20"/>
              </w:rPr>
              <w:t>Interviews</w:t>
            </w:r>
          </w:p>
          <w:p w:rsidR="00113B96" w:rsidRPr="006C0C57" w:rsidRDefault="006C0C57" w:rsidP="00113B96">
            <w:pPr>
              <w:numPr>
                <w:ilvl w:val="1"/>
                <w:numId w:val="7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C0C57">
              <w:rPr>
                <w:rFonts w:ascii="Arial" w:eastAsia="Times New Roman" w:hAnsi="Arial" w:cs="Arial"/>
                <w:sz w:val="20"/>
                <w:szCs w:val="20"/>
              </w:rPr>
              <w:t>Minor Sick</w:t>
            </w:r>
            <w:r w:rsidR="00113B96" w:rsidRPr="006C0C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13B96" w:rsidRPr="00A339B8" w:rsidRDefault="006C0C57" w:rsidP="006C0C57">
            <w:pPr>
              <w:numPr>
                <w:ilvl w:val="0"/>
                <w:numId w:val="7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C0C57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="00113B96" w:rsidRPr="006C0C57">
              <w:rPr>
                <w:rFonts w:ascii="Arial" w:eastAsia="Times New Roman" w:hAnsi="Arial" w:cs="Arial"/>
                <w:sz w:val="20"/>
                <w:szCs w:val="20"/>
              </w:rPr>
              <w:t xml:space="preserve"> Hours of </w:t>
            </w:r>
            <w:r w:rsidRPr="006C0C57">
              <w:rPr>
                <w:rFonts w:ascii="Arial" w:eastAsia="Times New Roman" w:hAnsi="Arial" w:cs="Arial"/>
                <w:sz w:val="20"/>
                <w:szCs w:val="20"/>
              </w:rPr>
              <w:t>Extended Leave Bank</w:t>
            </w:r>
            <w:r w:rsidR="00113B96"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13B96" w:rsidRPr="00A339B8" w:rsidTr="003C31EC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113B96" w:rsidRPr="00A339B8" w:rsidRDefault="00113B96" w:rsidP="00182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Orlando Health Pharmacy Residency Basics</w:t>
            </w:r>
          </w:p>
        </w:tc>
      </w:tr>
      <w:tr w:rsidR="00113B96" w:rsidRPr="00A339B8" w:rsidTr="003C31EC">
        <w:trPr>
          <w:tblCellSpacing w:w="22" w:type="dxa"/>
        </w:trPr>
        <w:tc>
          <w:tcPr>
            <w:tcW w:w="0" w:type="auto"/>
            <w:gridSpan w:val="2"/>
            <w:hideMark/>
          </w:tcPr>
          <w:p w:rsidR="00113B96" w:rsidRPr="00A339B8" w:rsidRDefault="00113B96" w:rsidP="00113B96">
            <w:pPr>
              <w:numPr>
                <w:ilvl w:val="0"/>
                <w:numId w:val="8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Employment as a pharmacy resident at Orlando Health is contingent upon the following:</w:t>
            </w:r>
          </w:p>
          <w:p w:rsidR="00113B96" w:rsidRPr="00A339B8" w:rsidRDefault="00113B96" w:rsidP="00113B96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Obtaining a Florida Pharmacist license by September 1 of the residency year</w:t>
            </w:r>
          </w:p>
          <w:p w:rsidR="00113B96" w:rsidRPr="00A339B8" w:rsidRDefault="00113B96" w:rsidP="003C31EC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Florida Board of Pharmacy Website: </w:t>
            </w:r>
            <w:hyperlink r:id="rId14" w:tgtFrame="_self" w:history="1">
              <w:r w:rsidRPr="00A339B8">
                <w:rPr>
                  <w:rFonts w:ascii="Arial" w:eastAsia="Times New Roman" w:hAnsi="Arial" w:cs="Arial"/>
                  <w:color w:val="0070C0"/>
                  <w:sz w:val="20"/>
                  <w:szCs w:val="20"/>
                  <w:u w:val="single"/>
                </w:rPr>
                <w:t>www.doh.state.fl.us/mqa/pharmacy/ph_home.html</w:t>
              </w:r>
            </w:hyperlink>
            <w:r w:rsidRPr="00A339B8"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113B96" w:rsidRPr="00A339B8" w:rsidRDefault="00113B96" w:rsidP="00113B96">
            <w:pPr>
              <w:numPr>
                <w:ilvl w:val="1"/>
                <w:numId w:val="8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Completion of the Orlando Health pre-employment physical </w:t>
            </w:r>
          </w:p>
          <w:p w:rsidR="00113B96" w:rsidRPr="00A339B8" w:rsidRDefault="00113B96" w:rsidP="00113B96">
            <w:pPr>
              <w:numPr>
                <w:ilvl w:val="1"/>
                <w:numId w:val="8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A negative drug test including cotinine (a metabolite of nicotine)</w:t>
            </w:r>
          </w:p>
          <w:p w:rsidR="00113B96" w:rsidRPr="00A339B8" w:rsidRDefault="00113B96" w:rsidP="00113B96">
            <w:pPr>
              <w:numPr>
                <w:ilvl w:val="0"/>
                <w:numId w:val="8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The Resident Learning System (RLS) is used to direct learning. </w:t>
            </w:r>
          </w:p>
          <w:p w:rsidR="00113B96" w:rsidRPr="00A339B8" w:rsidRDefault="00113B96" w:rsidP="00113B96">
            <w:pPr>
              <w:numPr>
                <w:ilvl w:val="0"/>
                <w:numId w:val="8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A residency advisor is assigned to mentor the resident throughout the year. </w:t>
            </w:r>
          </w:p>
          <w:p w:rsidR="00113B96" w:rsidRPr="00A339B8" w:rsidRDefault="00113B96" w:rsidP="00225FFA">
            <w:pPr>
              <w:numPr>
                <w:ilvl w:val="0"/>
                <w:numId w:val="8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Advisors are also selected to assist the resident with completion of their projects (See </w:t>
            </w:r>
            <w:hyperlink r:id="rId15" w:anchor="Additional Required" w:tgtFrame="_self" w:history="1">
              <w:r w:rsidRPr="00A339B8">
                <w:rPr>
                  <w:rFonts w:ascii="Arial" w:eastAsia="Times New Roman" w:hAnsi="Arial" w:cs="Arial"/>
                  <w:sz w:val="20"/>
                  <w:szCs w:val="20"/>
                </w:rPr>
                <w:t>Additional Required Activities</w:t>
              </w:r>
            </w:hyperlink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). </w:t>
            </w:r>
          </w:p>
        </w:tc>
      </w:tr>
    </w:tbl>
    <w:p w:rsidR="009F0A19" w:rsidRDefault="009F0A19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  <w:bookmarkStart w:id="5" w:name="ResidencyPreceptors"/>
      <w:bookmarkEnd w:id="5"/>
    </w:p>
    <w:p w:rsidR="00113B96" w:rsidRPr="00A339B8" w:rsidRDefault="00113B96" w:rsidP="00113B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13B96" w:rsidRPr="00A339B8" w:rsidRDefault="00113B96" w:rsidP="00113B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13B96" w:rsidRPr="00A339B8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939"/>
          <w:sz w:val="18"/>
          <w:szCs w:val="18"/>
        </w:rPr>
      </w:pPr>
      <w:r w:rsidRPr="00A339B8">
        <w:rPr>
          <w:rFonts w:ascii="Arial" w:eastAsia="Times New Roman" w:hAnsi="Arial" w:cs="Arial"/>
          <w:color w:val="363939"/>
          <w:sz w:val="18"/>
          <w:szCs w:val="18"/>
        </w:rPr>
        <w:t> </w:t>
      </w:r>
    </w:p>
    <w:p w:rsidR="00113B96" w:rsidRPr="00A339B8" w:rsidRDefault="00113B96" w:rsidP="00113B96">
      <w:pPr>
        <w:spacing w:after="0" w:line="240" w:lineRule="auto"/>
      </w:pPr>
    </w:p>
    <w:p w:rsidR="00953091" w:rsidRDefault="00C77F2B"/>
    <w:sectPr w:rsidR="00953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97" w:rsidRDefault="00F36797">
      <w:pPr>
        <w:spacing w:after="0" w:line="240" w:lineRule="auto"/>
      </w:pPr>
      <w:r>
        <w:separator/>
      </w:r>
    </w:p>
  </w:endnote>
  <w:endnote w:type="continuationSeparator" w:id="0">
    <w:p w:rsidR="00F36797" w:rsidRDefault="00F3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97" w:rsidRDefault="00F36797">
      <w:pPr>
        <w:spacing w:after="0" w:line="240" w:lineRule="auto"/>
      </w:pPr>
      <w:r>
        <w:separator/>
      </w:r>
    </w:p>
  </w:footnote>
  <w:footnote w:type="continuationSeparator" w:id="0">
    <w:p w:rsidR="00F36797" w:rsidRDefault="00F3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525"/>
    <w:multiLevelType w:val="multilevel"/>
    <w:tmpl w:val="A4F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61D66"/>
    <w:multiLevelType w:val="multilevel"/>
    <w:tmpl w:val="1298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B7702"/>
    <w:multiLevelType w:val="multilevel"/>
    <w:tmpl w:val="A734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9D6AA1"/>
    <w:multiLevelType w:val="hybridMultilevel"/>
    <w:tmpl w:val="EC287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757265"/>
    <w:multiLevelType w:val="hybridMultilevel"/>
    <w:tmpl w:val="B44AE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044D2"/>
    <w:multiLevelType w:val="multilevel"/>
    <w:tmpl w:val="C748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1A6A8C"/>
    <w:multiLevelType w:val="hybridMultilevel"/>
    <w:tmpl w:val="8B28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C6D2F"/>
    <w:multiLevelType w:val="multilevel"/>
    <w:tmpl w:val="FC50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D011E0"/>
    <w:multiLevelType w:val="hybridMultilevel"/>
    <w:tmpl w:val="DC38E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D23F87"/>
    <w:multiLevelType w:val="multilevel"/>
    <w:tmpl w:val="AD5C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07419E"/>
    <w:multiLevelType w:val="multilevel"/>
    <w:tmpl w:val="F41E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EC770A"/>
    <w:multiLevelType w:val="multilevel"/>
    <w:tmpl w:val="28C0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96"/>
    <w:rsid w:val="00113B96"/>
    <w:rsid w:val="00182AEA"/>
    <w:rsid w:val="002136FA"/>
    <w:rsid w:val="00225FFA"/>
    <w:rsid w:val="0034506E"/>
    <w:rsid w:val="00393805"/>
    <w:rsid w:val="003E0547"/>
    <w:rsid w:val="00410E23"/>
    <w:rsid w:val="004548B8"/>
    <w:rsid w:val="005C2792"/>
    <w:rsid w:val="005F586C"/>
    <w:rsid w:val="006A6DD6"/>
    <w:rsid w:val="006C0C57"/>
    <w:rsid w:val="00724A66"/>
    <w:rsid w:val="0074377C"/>
    <w:rsid w:val="007E7C55"/>
    <w:rsid w:val="009B4D77"/>
    <w:rsid w:val="009F0A19"/>
    <w:rsid w:val="00A60165"/>
    <w:rsid w:val="00A94922"/>
    <w:rsid w:val="00B83874"/>
    <w:rsid w:val="00C71978"/>
    <w:rsid w:val="00C77F2B"/>
    <w:rsid w:val="00CB606D"/>
    <w:rsid w:val="00D3167A"/>
    <w:rsid w:val="00DF71AD"/>
    <w:rsid w:val="00E273FD"/>
    <w:rsid w:val="00E86A8E"/>
    <w:rsid w:val="00EA5DF1"/>
    <w:rsid w:val="00EB0B0F"/>
    <w:rsid w:val="00F3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B96"/>
  </w:style>
  <w:style w:type="table" w:customStyle="1" w:styleId="TableGrid1">
    <w:name w:val="Table Grid1"/>
    <w:basedOn w:val="TableNormal"/>
    <w:next w:val="TableGrid"/>
    <w:uiPriority w:val="59"/>
    <w:rsid w:val="0011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1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B96"/>
  </w:style>
  <w:style w:type="table" w:customStyle="1" w:styleId="TableGrid1">
    <w:name w:val="Table Grid1"/>
    <w:basedOn w:val="TableNormal"/>
    <w:next w:val="TableGrid"/>
    <w:uiPriority w:val="59"/>
    <w:rsid w:val="0011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1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andon.Huang@orlandohealth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ba.Rihani@orlandohealth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rlandohealth.com/SiteManagementEdit.aspx?Pid=3140&amp;Wid=1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doh.state.fl.us/mqa/pharmacy/ph_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2E80-503C-4B49-AD45-EC80D166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Health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Michael J.</dc:creator>
  <cp:lastModifiedBy>Rihani, Deba S.</cp:lastModifiedBy>
  <cp:revision>5</cp:revision>
  <cp:lastPrinted>2015-10-06T20:18:00Z</cp:lastPrinted>
  <dcterms:created xsi:type="dcterms:W3CDTF">2017-08-30T15:16:00Z</dcterms:created>
  <dcterms:modified xsi:type="dcterms:W3CDTF">2017-08-30T15:23:00Z</dcterms:modified>
</cp:coreProperties>
</file>